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430"/>
      </w:tblGrid>
      <w:tr w:rsidR="00F62173" w14:paraId="376DE081" w14:textId="77777777" w:rsidTr="00981551">
        <w:tc>
          <w:tcPr>
            <w:tcW w:w="2552" w:type="dxa"/>
            <w:vAlign w:val="bottom"/>
          </w:tcPr>
          <w:p w14:paraId="61D2F5FA" w14:textId="77777777" w:rsidR="00F62173" w:rsidRDefault="00F62173" w:rsidP="0087549E">
            <w:pPr>
              <w:pStyle w:val="Titel"/>
              <w:rPr>
                <w:noProof/>
              </w:rPr>
            </w:pPr>
            <w:r>
              <w:rPr>
                <w:noProof/>
              </w:rPr>
              <w:drawing>
                <wp:inline distT="0" distB="0" distL="0" distR="0" wp14:anchorId="0D4A754E" wp14:editId="006BB228">
                  <wp:extent cx="888625" cy="970049"/>
                  <wp:effectExtent l="0" t="0" r="698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256" cy="980562"/>
                          </a:xfrm>
                          <a:prstGeom prst="rect">
                            <a:avLst/>
                          </a:prstGeom>
                        </pic:spPr>
                      </pic:pic>
                    </a:graphicData>
                  </a:graphic>
                </wp:inline>
              </w:drawing>
            </w:r>
          </w:p>
          <w:p w14:paraId="7533552E" w14:textId="707CA1D7" w:rsidR="00F62173" w:rsidRDefault="00F62173" w:rsidP="00981551">
            <w:pPr>
              <w:spacing w:after="0" w:line="240" w:lineRule="auto"/>
              <w:rPr>
                <w:rFonts w:asciiTheme="minorHAnsi" w:hAnsiTheme="minorHAnsi"/>
                <w:i/>
                <w:noProof/>
              </w:rPr>
            </w:pPr>
            <w:r>
              <w:rPr>
                <w:rFonts w:asciiTheme="minorHAnsi" w:hAnsiTheme="minorHAnsi"/>
                <w:i/>
              </w:rPr>
              <w:t>Pabellón 8a / D01</w:t>
            </w:r>
          </w:p>
        </w:tc>
        <w:tc>
          <w:tcPr>
            <w:tcW w:w="6430" w:type="dxa"/>
            <w:vAlign w:val="bottom"/>
          </w:tcPr>
          <w:p w14:paraId="4D57ABFD" w14:textId="76C244EC" w:rsidR="00F62173" w:rsidRPr="00C7197F" w:rsidRDefault="00C7197F" w:rsidP="00981551">
            <w:pPr>
              <w:spacing w:after="0" w:line="240" w:lineRule="auto"/>
              <w:rPr>
                <w:rFonts w:asciiTheme="minorHAnsi" w:eastAsia="Times New Roman" w:hAnsiTheme="minorHAnsi"/>
                <w:b/>
                <w:bCs/>
                <w:color w:val="323232"/>
                <w:sz w:val="40"/>
                <w:szCs w:val="40"/>
              </w:rPr>
            </w:pPr>
            <w:r>
              <w:rPr>
                <w:rFonts w:asciiTheme="minorHAnsi" w:hAnsiTheme="minorHAnsi"/>
                <w:b/>
                <w:color w:val="323232"/>
                <w:sz w:val="40"/>
              </w:rPr>
              <w:t>Tosaf desarrolla nuevos masterbatches blancos sin TiO</w:t>
            </w:r>
            <w:r w:rsidRPr="00F25471">
              <w:rPr>
                <w:rFonts w:asciiTheme="minorHAnsi" w:hAnsiTheme="minorHAnsi"/>
                <w:b/>
                <w:color w:val="323232"/>
                <w:sz w:val="40"/>
                <w:vertAlign w:val="subscript"/>
              </w:rPr>
              <w:t>2</w:t>
            </w:r>
          </w:p>
        </w:tc>
      </w:tr>
    </w:tbl>
    <w:p w14:paraId="07CD6B59" w14:textId="77B01EB9" w:rsidR="00D516CD" w:rsidRPr="0065218E" w:rsidRDefault="00C7197F" w:rsidP="00D516CD">
      <w:pPr>
        <w:spacing w:before="240" w:after="120"/>
        <w:rPr>
          <w:rFonts w:asciiTheme="minorHAnsi" w:hAnsiTheme="minorHAnsi"/>
          <w:i/>
        </w:rPr>
      </w:pPr>
      <w:r>
        <w:rPr>
          <w:rFonts w:asciiTheme="minorHAnsi" w:hAnsiTheme="minorHAnsi"/>
          <w:i/>
          <w:noProof/>
        </w:rPr>
        <w:drawing>
          <wp:inline distT="0" distB="0" distL="0" distR="0" wp14:anchorId="3A979E83" wp14:editId="14D8FAC6">
            <wp:extent cx="4599709" cy="3321487"/>
            <wp:effectExtent l="0" t="0" r="0" b="0"/>
            <wp:docPr id="1" name="Grafik 1" descr="Ein Bild, das drinnen, mehrere, Gemüse, Stap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mehrere, Gemüse, Stap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1925" cy="3337529"/>
                    </a:xfrm>
                    <a:prstGeom prst="rect">
                      <a:avLst/>
                    </a:prstGeom>
                  </pic:spPr>
                </pic:pic>
              </a:graphicData>
            </a:graphic>
          </wp:inline>
        </w:drawing>
      </w:r>
    </w:p>
    <w:p w14:paraId="7569E39F" w14:textId="130008CB" w:rsidR="00C7197F" w:rsidRPr="00F948C2" w:rsidRDefault="00C7197F" w:rsidP="00826911">
      <w:pPr>
        <w:spacing w:before="120" w:after="0" w:line="240" w:lineRule="auto"/>
        <w:rPr>
          <w:rFonts w:asciiTheme="minorHAnsi" w:hAnsiTheme="minorHAnsi"/>
          <w:i/>
        </w:rPr>
      </w:pPr>
      <w:r w:rsidRPr="00F948C2">
        <w:rPr>
          <w:rFonts w:asciiTheme="minorHAnsi" w:hAnsiTheme="minorHAnsi"/>
          <w:i/>
        </w:rPr>
        <w:t>Tosaf ha desarrollado masterbatches blancos como alternativa a los tipos convencionales que contienen TiO</w:t>
      </w:r>
      <w:r w:rsidRPr="00F948C2">
        <w:rPr>
          <w:rFonts w:asciiTheme="minorHAnsi" w:hAnsiTheme="minorHAnsi"/>
          <w:i/>
          <w:vertAlign w:val="subscript"/>
        </w:rPr>
        <w:t>2</w:t>
      </w:r>
      <w:r w:rsidRPr="00F948C2">
        <w:rPr>
          <w:rFonts w:asciiTheme="minorHAnsi" w:hAnsiTheme="minorHAnsi"/>
          <w:i/>
        </w:rPr>
        <w:t xml:space="preserve">, que son adecuados para la producción de envases rígidos y </w:t>
      </w:r>
      <w:r w:rsidR="00CC5C47" w:rsidRPr="00F948C2">
        <w:rPr>
          <w:rFonts w:asciiTheme="minorHAnsi" w:hAnsiTheme="minorHAnsi"/>
          <w:i/>
        </w:rPr>
        <w:t xml:space="preserve">flexibles </w:t>
      </w:r>
      <w:r w:rsidRPr="00F948C2">
        <w:rPr>
          <w:rFonts w:asciiTheme="minorHAnsi" w:hAnsiTheme="minorHAnsi"/>
          <w:i/>
        </w:rPr>
        <w:t>para la industria alimentaria, así como de piezas para las industrias del juguete y la cosmética. © Tosaf</w:t>
      </w:r>
    </w:p>
    <w:p w14:paraId="2478AA19" w14:textId="1FF3B0B6" w:rsidR="00C7197F" w:rsidRPr="00F948C2" w:rsidRDefault="00C7197F" w:rsidP="00FA4004">
      <w:pPr>
        <w:spacing w:before="120" w:after="0" w:line="340" w:lineRule="exact"/>
        <w:rPr>
          <w:rFonts w:asciiTheme="minorHAnsi" w:eastAsia="Times New Roman" w:hAnsiTheme="minorHAnsi"/>
          <w:sz w:val="24"/>
          <w:szCs w:val="24"/>
        </w:rPr>
      </w:pPr>
      <w:r w:rsidRPr="00F948C2">
        <w:rPr>
          <w:rFonts w:asciiTheme="minorHAnsi" w:hAnsiTheme="minorHAnsi"/>
          <w:sz w:val="24"/>
        </w:rPr>
        <w:t>Septiembre de 2022 -- En la feria K2022 de Düsseldorf/Alemania, Tosaf presenta</w:t>
      </w:r>
      <w:r w:rsidR="00CC5C47" w:rsidRPr="00F948C2">
        <w:rPr>
          <w:rFonts w:asciiTheme="minorHAnsi" w:hAnsiTheme="minorHAnsi"/>
          <w:sz w:val="24"/>
        </w:rPr>
        <w:t>rá</w:t>
      </w:r>
      <w:r w:rsidRPr="00F948C2">
        <w:rPr>
          <w:rFonts w:asciiTheme="minorHAnsi" w:hAnsiTheme="minorHAnsi"/>
          <w:sz w:val="24"/>
        </w:rPr>
        <w:t xml:space="preserve"> una gama de nuevos masterbatches blancos que no contienen dióxido de titanio (TiO</w:t>
      </w:r>
      <w:r w:rsidRPr="00F948C2">
        <w:rPr>
          <w:rFonts w:asciiTheme="minorHAnsi" w:hAnsiTheme="minorHAnsi"/>
          <w:sz w:val="24"/>
          <w:vertAlign w:val="subscript"/>
        </w:rPr>
        <w:t>2</w:t>
      </w:r>
      <w:r w:rsidRPr="00F948C2">
        <w:rPr>
          <w:rFonts w:asciiTheme="minorHAnsi" w:hAnsiTheme="minorHAnsi"/>
          <w:sz w:val="24"/>
        </w:rPr>
        <w:t xml:space="preserve">) y que muestran muy buenas propiedades en lo referente al índice de blancura, la fuerza de color y la opacidad. La empresa </w:t>
      </w:r>
      <w:r w:rsidR="00754507" w:rsidRPr="00F948C2">
        <w:rPr>
          <w:rFonts w:asciiTheme="minorHAnsi" w:hAnsiTheme="minorHAnsi"/>
          <w:sz w:val="24"/>
        </w:rPr>
        <w:t>responde así a un</w:t>
      </w:r>
      <w:r w:rsidRPr="00F948C2">
        <w:rPr>
          <w:rFonts w:asciiTheme="minorHAnsi" w:hAnsiTheme="minorHAnsi"/>
          <w:sz w:val="24"/>
        </w:rPr>
        <w:t xml:space="preserve"> número creciente de consultas de clientes</w:t>
      </w:r>
      <w:r w:rsidR="00754507" w:rsidRPr="00F948C2">
        <w:rPr>
          <w:rFonts w:asciiTheme="minorHAnsi" w:hAnsiTheme="minorHAnsi"/>
          <w:sz w:val="24"/>
        </w:rPr>
        <w:t xml:space="preserve">, ya que se sospecha que el pigmento blanco </w:t>
      </w:r>
      <w:r w:rsidR="00E43F0C" w:rsidRPr="00F948C2">
        <w:rPr>
          <w:rFonts w:asciiTheme="minorHAnsi" w:hAnsiTheme="minorHAnsi"/>
          <w:sz w:val="24"/>
        </w:rPr>
        <w:t>convencional</w:t>
      </w:r>
      <w:r w:rsidR="00754507" w:rsidRPr="00F948C2">
        <w:rPr>
          <w:rFonts w:asciiTheme="minorHAnsi" w:hAnsiTheme="minorHAnsi"/>
          <w:sz w:val="24"/>
        </w:rPr>
        <w:t xml:space="preserve"> </w:t>
      </w:r>
      <w:r w:rsidR="00E43F0C" w:rsidRPr="00F948C2">
        <w:rPr>
          <w:rFonts w:asciiTheme="minorHAnsi" w:hAnsiTheme="minorHAnsi"/>
          <w:sz w:val="24"/>
        </w:rPr>
        <w:t xml:space="preserve">sería </w:t>
      </w:r>
      <w:r w:rsidRPr="00F948C2">
        <w:rPr>
          <w:rFonts w:asciiTheme="minorHAnsi" w:hAnsiTheme="minorHAnsi"/>
          <w:sz w:val="24"/>
        </w:rPr>
        <w:t xml:space="preserve">cancerígeno cuando se inhala en forma de polvo y porque la UE lo ha prohibido como colorante alimentario (E171). </w:t>
      </w:r>
      <w:r w:rsidR="00E43F0C" w:rsidRPr="00F948C2">
        <w:rPr>
          <w:rFonts w:asciiTheme="minorHAnsi" w:hAnsiTheme="minorHAnsi"/>
          <w:sz w:val="24"/>
        </w:rPr>
        <w:t xml:space="preserve"> </w:t>
      </w:r>
      <w:r w:rsidRPr="00F948C2">
        <w:rPr>
          <w:rFonts w:asciiTheme="minorHAnsi" w:hAnsiTheme="minorHAnsi"/>
          <w:sz w:val="24"/>
        </w:rPr>
        <w:t>Aunque esta decisión de la UE no prohíbe</w:t>
      </w:r>
      <w:r w:rsidR="00E43F0C" w:rsidRPr="00F948C2">
        <w:rPr>
          <w:rFonts w:asciiTheme="minorHAnsi" w:hAnsiTheme="minorHAnsi"/>
          <w:sz w:val="24"/>
        </w:rPr>
        <w:t xml:space="preserve"> aún</w:t>
      </w:r>
      <w:r w:rsidRPr="00F948C2">
        <w:rPr>
          <w:rFonts w:asciiTheme="minorHAnsi" w:hAnsiTheme="minorHAnsi"/>
          <w:sz w:val="24"/>
        </w:rPr>
        <w:t xml:space="preserve"> el uso del TiO</w:t>
      </w:r>
      <w:r w:rsidRPr="00F948C2">
        <w:rPr>
          <w:rFonts w:asciiTheme="minorHAnsi" w:hAnsiTheme="minorHAnsi"/>
          <w:sz w:val="24"/>
          <w:vertAlign w:val="subscript"/>
        </w:rPr>
        <w:t>2</w:t>
      </w:r>
      <w:r w:rsidRPr="00F948C2">
        <w:rPr>
          <w:rFonts w:asciiTheme="minorHAnsi" w:hAnsiTheme="minorHAnsi"/>
          <w:sz w:val="24"/>
        </w:rPr>
        <w:t xml:space="preserve"> como pigmento en polímeros </w:t>
      </w:r>
      <w:r w:rsidR="00754507" w:rsidRPr="00F948C2">
        <w:rPr>
          <w:rFonts w:asciiTheme="minorHAnsi" w:hAnsiTheme="minorHAnsi"/>
          <w:sz w:val="24"/>
        </w:rPr>
        <w:t xml:space="preserve">que entran </w:t>
      </w:r>
      <w:r w:rsidRPr="00F948C2">
        <w:rPr>
          <w:rFonts w:asciiTheme="minorHAnsi" w:hAnsiTheme="minorHAnsi"/>
          <w:sz w:val="24"/>
        </w:rPr>
        <w:t xml:space="preserve">en contacto con alimentos, los fabricantes de envases rígidos y </w:t>
      </w:r>
      <w:r w:rsidR="00E43F0C" w:rsidRPr="00F948C2">
        <w:rPr>
          <w:rFonts w:asciiTheme="minorHAnsi" w:hAnsiTheme="minorHAnsi"/>
          <w:sz w:val="24"/>
        </w:rPr>
        <w:t>flexibles</w:t>
      </w:r>
      <w:r w:rsidRPr="00F948C2">
        <w:rPr>
          <w:rFonts w:asciiTheme="minorHAnsi" w:hAnsiTheme="minorHAnsi"/>
          <w:sz w:val="24"/>
        </w:rPr>
        <w:t xml:space="preserve"> para la industria alimentaria, así como de piezas para la industria del juguete y de la </w:t>
      </w:r>
      <w:r w:rsidR="0031694A" w:rsidRPr="00F948C2">
        <w:rPr>
          <w:rFonts w:asciiTheme="minorHAnsi" w:hAnsiTheme="minorHAnsi"/>
          <w:sz w:val="24"/>
        </w:rPr>
        <w:t>cosmética, están</w:t>
      </w:r>
      <w:r w:rsidRPr="00F948C2">
        <w:rPr>
          <w:rFonts w:asciiTheme="minorHAnsi" w:hAnsiTheme="minorHAnsi"/>
          <w:sz w:val="24"/>
        </w:rPr>
        <w:t xml:space="preserve"> cada vez más interesados en cambiar a masterbatches sin TiO</w:t>
      </w:r>
      <w:r w:rsidRPr="00F948C2">
        <w:rPr>
          <w:rFonts w:asciiTheme="minorHAnsi" w:hAnsiTheme="minorHAnsi"/>
          <w:sz w:val="24"/>
          <w:vertAlign w:val="subscript"/>
        </w:rPr>
        <w:t>2</w:t>
      </w:r>
      <w:r w:rsidRPr="00F948C2">
        <w:rPr>
          <w:rFonts w:asciiTheme="minorHAnsi" w:hAnsiTheme="minorHAnsi"/>
          <w:sz w:val="24"/>
        </w:rPr>
        <w:t xml:space="preserve"> en el futuro.</w:t>
      </w:r>
    </w:p>
    <w:p w14:paraId="19131200" w14:textId="4E6AAF1D" w:rsidR="00C7197F" w:rsidRPr="00CC25D8" w:rsidRDefault="00794D86" w:rsidP="00FA4004">
      <w:pPr>
        <w:spacing w:before="120" w:after="0" w:line="340" w:lineRule="exact"/>
        <w:rPr>
          <w:rFonts w:asciiTheme="minorHAnsi" w:eastAsia="Times New Roman" w:hAnsiTheme="minorHAnsi"/>
          <w:color w:val="000000"/>
          <w:sz w:val="24"/>
          <w:szCs w:val="24"/>
        </w:rPr>
      </w:pPr>
      <w:r>
        <w:rPr>
          <w:rFonts w:asciiTheme="minorHAnsi" w:hAnsiTheme="minorHAnsi"/>
          <w:color w:val="000000"/>
          <w:sz w:val="24"/>
        </w:rPr>
        <w:lastRenderedPageBreak/>
        <w:t>Ahora, Tosaf ha desarrollado este tipo de masterbatches en forma de gránulos cilíndricos y esféricos. Son el resultado de un estudio iniciado por Tosaf Benelux R&amp;D para encontrar alternativas para la coloración blanca de plásticos. Aunque su formulación no contiene dióxido de titanio sin aglutinar, su opacidad y fuerza de color están al mismo nivel que los masterbatches de TiO</w:t>
      </w:r>
      <w:r>
        <w:rPr>
          <w:rFonts w:asciiTheme="minorHAnsi" w:hAnsiTheme="minorHAnsi"/>
          <w:color w:val="000000"/>
          <w:sz w:val="24"/>
          <w:vertAlign w:val="subscript"/>
        </w:rPr>
        <w:t>2</w:t>
      </w:r>
      <w:r>
        <w:rPr>
          <w:rFonts w:asciiTheme="minorHAnsi" w:hAnsiTheme="minorHAnsi"/>
          <w:color w:val="000000"/>
          <w:sz w:val="24"/>
        </w:rPr>
        <w:t xml:space="preserve"> estándar al aplicar la misma dosis. El tono de color en sí puede ajustarse desde amarillento a neutro a azulado. Como esto es cierto independientemente del sistema de soporte, los nuevos masterbatches blancos de Tosaf, pendientes de patente, son compatibles con cualquier polímero base. La baja abrasividad permite una larga vida útil de los moldes, y no se presentan efectos plate out en el procesamiento en sistemas de dos rodillos.</w:t>
      </w:r>
    </w:p>
    <w:p w14:paraId="66633D66" w14:textId="0568BF7A" w:rsidR="00CC25D8" w:rsidRDefault="00CC25D8" w:rsidP="00FA4004">
      <w:pPr>
        <w:spacing w:after="120" w:line="340" w:lineRule="exact"/>
        <w:rPr>
          <w:rFonts w:asciiTheme="minorHAnsi" w:eastAsia="Times New Roman" w:hAnsiTheme="minorHAnsi"/>
          <w:color w:val="000000"/>
          <w:sz w:val="24"/>
          <w:szCs w:val="24"/>
        </w:rPr>
      </w:pPr>
      <w:r>
        <w:rPr>
          <w:rFonts w:asciiTheme="minorHAnsi" w:hAnsiTheme="minorHAnsi"/>
          <w:color w:val="000000"/>
          <w:sz w:val="24"/>
        </w:rPr>
        <w:t>Michel Theunisz, Director General de Tosaf Benelux, comenta al respecto: "Con el desarrollo y el lanzamiento de nuestros nuevos masterbatches blancos que no contienen TiO</w:t>
      </w:r>
      <w:r w:rsidRPr="00F25471">
        <w:rPr>
          <w:rFonts w:asciiTheme="minorHAnsi" w:hAnsiTheme="minorHAnsi"/>
          <w:color w:val="000000"/>
          <w:sz w:val="24"/>
          <w:vertAlign w:val="subscript"/>
        </w:rPr>
        <w:t>2</w:t>
      </w:r>
      <w:r>
        <w:rPr>
          <w:rFonts w:asciiTheme="minorHAnsi" w:hAnsiTheme="minorHAnsi"/>
          <w:color w:val="000000"/>
          <w:sz w:val="24"/>
        </w:rPr>
        <w:t xml:space="preserve"> y están disponibles con diferentes sistemas de soporte, estamos resolviendo el problema de los procesadores de plásticos y los propietarios de marcas en torno a la coloración blanca de los plásticos para los envases de alimentos, productos cosméticos y médicos, así como para juguetes, independientemente del método de procesamiento y el uso final. El nuevo masterbatch blanco de Tosaf le permitirá a la industria de los plásticos reducir proactivamente el uso de TiO</w:t>
      </w:r>
      <w:r w:rsidRPr="00F25471">
        <w:rPr>
          <w:rFonts w:asciiTheme="minorHAnsi" w:hAnsiTheme="minorHAnsi"/>
          <w:color w:val="000000"/>
          <w:sz w:val="24"/>
          <w:vertAlign w:val="subscript"/>
        </w:rPr>
        <w:t>2</w:t>
      </w:r>
      <w:r>
        <w:rPr>
          <w:rFonts w:asciiTheme="minorHAnsi" w:hAnsiTheme="minorHAnsi"/>
          <w:color w:val="000000"/>
          <w:sz w:val="24"/>
        </w:rPr>
        <w:t xml:space="preserve"> en los plásticos"</w:t>
      </w:r>
    </w:p>
    <w:p w14:paraId="764B3699" w14:textId="08C4ABF0" w:rsidR="00CC25D8" w:rsidRPr="00CC25D8" w:rsidRDefault="00CC25D8" w:rsidP="00DE52B0">
      <w:pPr>
        <w:spacing w:before="120" w:after="0" w:line="200" w:lineRule="exact"/>
        <w:rPr>
          <w:rFonts w:asciiTheme="minorHAnsi" w:eastAsia="Times New Roman" w:hAnsiTheme="minorHAnsi"/>
          <w:color w:val="000000"/>
          <w:sz w:val="20"/>
          <w:szCs w:val="20"/>
        </w:rPr>
      </w:pPr>
      <w:r>
        <w:rPr>
          <w:rFonts w:asciiTheme="minorHAnsi" w:hAnsiTheme="minorHAnsi"/>
          <w:color w:val="000000"/>
          <w:sz w:val="20"/>
        </w:rPr>
        <w:t>Desde hace más de tres décadas, Tosaf desarrolla y produce aditivos, compuestos y masterbatches de color de alta calidad para la industria de los plásticos. Para ello, la empresa ha ampliado continuamente su gama de productos, sus capacidades de producción y su alcance mundial y se ha convertido en una empresa global cercana al mercado. En la actualidad, la empresa tiene clientes en más de 50 países de Europa, América del Norte, América del Sur, Asia y Oriente Medio y emplea a más de 1.400 personas en sus instalaciones de producción, almacenes y oficinas de venta y distribución de todo el mundo.</w:t>
      </w:r>
    </w:p>
    <w:p w14:paraId="5B35D076" w14:textId="5C4646FE" w:rsidR="00CA3090" w:rsidRDefault="00826911" w:rsidP="00826911">
      <w:pPr>
        <w:spacing w:after="0" w:line="200" w:lineRule="exact"/>
        <w:rPr>
          <w:rFonts w:asciiTheme="minorHAnsi" w:eastAsia="Times New Roman" w:hAnsiTheme="minorHAnsi"/>
          <w:color w:val="000000"/>
          <w:sz w:val="20"/>
          <w:szCs w:val="20"/>
        </w:rPr>
      </w:pPr>
      <w:r>
        <w:rPr>
          <w:rFonts w:asciiTheme="minorHAnsi" w:hAnsiTheme="minorHAnsi"/>
          <w:color w:val="000000"/>
          <w:sz w:val="20"/>
        </w:rPr>
        <w:t>Amos Megides, director general de Tosaf, fundó la empresa en Israel en 1986 y sigue al frente de ella. Dirige e inspira a su equipo centrándose en una excepcional prestación de servicios, una calidad superior y una innovación continua. Los principales accionistas de Tosaf son Megides Holdings Ltd. y el Grupo Ravago.</w:t>
      </w:r>
    </w:p>
    <w:p w14:paraId="7D6FD069" w14:textId="117BF621" w:rsidR="00EF5E4F" w:rsidRPr="00CC5C47" w:rsidRDefault="00596B7E" w:rsidP="00FA4004">
      <w:pPr>
        <w:spacing w:before="120" w:after="0" w:line="200" w:lineRule="exact"/>
        <w:rPr>
          <w:rFonts w:asciiTheme="minorHAnsi" w:hAnsiTheme="minorHAnsi"/>
          <w:i/>
          <w:color w:val="000000"/>
          <w:sz w:val="20"/>
          <w:lang w:val="en-US"/>
        </w:rPr>
      </w:pPr>
      <w:r w:rsidRPr="00FA4004">
        <w:rPr>
          <w:rFonts w:asciiTheme="minorHAnsi" w:hAnsiTheme="minorHAnsi"/>
          <w:i/>
          <w:color w:val="000000"/>
          <w:sz w:val="20"/>
          <w:lang w:val="en-GB"/>
        </w:rPr>
        <w:t xml:space="preserve">Tosaf assume no liability, nor take any responsibility of any kind for any outcomes to you or to your business that you believe may have been influenced by reading this information. </w:t>
      </w:r>
      <w:r w:rsidRPr="00CC5C47">
        <w:rPr>
          <w:rFonts w:asciiTheme="minorHAnsi" w:hAnsiTheme="minorHAnsi"/>
          <w:i/>
          <w:color w:val="000000"/>
          <w:sz w:val="20"/>
          <w:lang w:val="en-US"/>
        </w:rPr>
        <w:t xml:space="preserve">We provide no warranty, nor representation of any kind, expressed or implied, as to the nature, standard, accuracy, completeness or otherwise of the information, neither to the suitability or otherwise of the products, to any use, application, or specific purpose, etc. It is your sole responsibility to make your own business judgement and to seek professional and/or legal advice relevant to your circumstances and business activities, as well as to match your </w:t>
      </w:r>
      <w:proofErr w:type="gramStart"/>
      <w:r w:rsidRPr="00CC5C47">
        <w:rPr>
          <w:rFonts w:asciiTheme="minorHAnsi" w:hAnsiTheme="minorHAnsi"/>
          <w:i/>
          <w:color w:val="000000"/>
          <w:sz w:val="20"/>
          <w:lang w:val="en-US"/>
        </w:rPr>
        <w:t>particular needs</w:t>
      </w:r>
      <w:proofErr w:type="gramEnd"/>
      <w:r w:rsidRPr="00CC5C47">
        <w:rPr>
          <w:rFonts w:asciiTheme="minorHAnsi" w:hAnsiTheme="minorHAnsi"/>
          <w:i/>
          <w:color w:val="000000"/>
          <w:sz w:val="20"/>
          <w:lang w:val="en-US"/>
        </w:rPr>
        <w:t xml:space="preserve"> and restrictions. Furthermore, it is your sole responsibility as to whether you choose to use or not to use any information provided herein.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13"/>
      </w:tblGrid>
      <w:tr w:rsidR="00CA3090" w:rsidRPr="00F948C2" w14:paraId="36AB747C" w14:textId="77777777" w:rsidTr="00F25471">
        <w:tc>
          <w:tcPr>
            <w:tcW w:w="4253" w:type="dxa"/>
          </w:tcPr>
          <w:p w14:paraId="3A8B3268" w14:textId="001F54AF" w:rsidR="00CA3090" w:rsidRDefault="00596B7E" w:rsidP="00FA4004">
            <w:pPr>
              <w:spacing w:before="120" w:after="120" w:line="240" w:lineRule="auto"/>
              <w:ind w:right="-284"/>
              <w:rPr>
                <w:rFonts w:asciiTheme="minorHAnsi" w:eastAsia="Times New Roman" w:hAnsiTheme="minorHAnsi"/>
                <w:b/>
                <w:bCs/>
                <w:i/>
                <w:iCs/>
                <w:sz w:val="24"/>
                <w:szCs w:val="24"/>
              </w:rPr>
            </w:pPr>
            <w:r>
              <w:rPr>
                <w:rFonts w:asciiTheme="minorHAnsi" w:hAnsiTheme="minorHAnsi"/>
                <w:b/>
                <w:i/>
                <w:sz w:val="24"/>
              </w:rPr>
              <w:t>Información más detallada sobre Tosaf:</w:t>
            </w:r>
            <w:r>
              <w:rPr>
                <w:rFonts w:asciiTheme="minorHAnsi" w:hAnsiTheme="minorHAnsi"/>
                <w:sz w:val="24"/>
              </w:rPr>
              <w:br/>
              <w:t xml:space="preserve">Sra. Rotem Spiegel </w:t>
            </w:r>
            <w:r>
              <w:rPr>
                <w:rFonts w:asciiTheme="minorHAnsi" w:hAnsiTheme="minorHAnsi"/>
                <w:sz w:val="24"/>
              </w:rPr>
              <w:br/>
              <w:t>Global Marketing Manager</w:t>
            </w:r>
            <w:r>
              <w:rPr>
                <w:rFonts w:asciiTheme="minorHAnsi" w:hAnsiTheme="minorHAnsi"/>
                <w:sz w:val="24"/>
              </w:rPr>
              <w:br/>
              <w:t>Tosaf Compounds Ltd.</w:t>
            </w:r>
            <w:r>
              <w:rPr>
                <w:rFonts w:asciiTheme="minorHAnsi" w:hAnsiTheme="minorHAnsi"/>
                <w:sz w:val="24"/>
              </w:rPr>
              <w:br/>
              <w:t>Tel.: +972 9 8984610</w:t>
            </w:r>
            <w:r>
              <w:rPr>
                <w:rFonts w:asciiTheme="minorHAnsi" w:hAnsiTheme="minorHAnsi"/>
                <w:sz w:val="24"/>
              </w:rPr>
              <w:br/>
              <w:t>rotemsp@tosaf.com</w:t>
            </w:r>
          </w:p>
        </w:tc>
        <w:tc>
          <w:tcPr>
            <w:tcW w:w="4513" w:type="dxa"/>
          </w:tcPr>
          <w:p w14:paraId="09199D12" w14:textId="3BEBCC41" w:rsidR="00CA3090" w:rsidRPr="000B557A" w:rsidRDefault="00596B7E" w:rsidP="00FA4004">
            <w:pPr>
              <w:spacing w:before="120" w:after="0" w:line="240" w:lineRule="auto"/>
              <w:ind w:right="-284"/>
              <w:rPr>
                <w:rFonts w:asciiTheme="minorHAnsi" w:eastAsia="Times New Roman" w:hAnsiTheme="minorHAnsi"/>
                <w:b/>
                <w:bCs/>
                <w:i/>
                <w:iCs/>
                <w:sz w:val="24"/>
                <w:szCs w:val="24"/>
                <w:lang w:val="de-DE"/>
              </w:rPr>
            </w:pPr>
            <w:r>
              <w:rPr>
                <w:rFonts w:asciiTheme="minorHAnsi" w:hAnsiTheme="minorHAnsi"/>
                <w:b/>
                <w:i/>
                <w:sz w:val="24"/>
              </w:rPr>
              <w:t>Contacto con la redacción y ejemplares justificativos por favor vía:</w:t>
            </w:r>
            <w:r>
              <w:rPr>
                <w:rFonts w:asciiTheme="minorHAnsi" w:hAnsiTheme="minorHAnsi"/>
                <w:sz w:val="24"/>
              </w:rPr>
              <w:br/>
              <w:t xml:space="preserve">Dr.-Ing. </w:t>
            </w:r>
            <w:r w:rsidRPr="000B557A">
              <w:rPr>
                <w:rFonts w:asciiTheme="minorHAnsi" w:hAnsiTheme="minorHAnsi"/>
                <w:sz w:val="24"/>
                <w:lang w:val="de-DE"/>
              </w:rPr>
              <w:t>Jörg Wolters</w:t>
            </w:r>
            <w:r w:rsidRPr="000B557A">
              <w:rPr>
                <w:rFonts w:asciiTheme="minorHAnsi" w:hAnsiTheme="minorHAnsi"/>
                <w:sz w:val="24"/>
                <w:lang w:val="de-DE"/>
              </w:rPr>
              <w:br/>
            </w:r>
            <w:r w:rsidRPr="000B557A">
              <w:rPr>
                <w:rFonts w:asciiTheme="minorHAnsi" w:hAnsiTheme="minorHAnsi"/>
                <w:smallCaps/>
                <w:sz w:val="24"/>
                <w:lang w:val="de-DE"/>
              </w:rPr>
              <w:t xml:space="preserve">KONSENS PR </w:t>
            </w:r>
            <w:r w:rsidRPr="000B557A">
              <w:rPr>
                <w:rFonts w:asciiTheme="minorHAnsi" w:hAnsiTheme="minorHAnsi"/>
                <w:sz w:val="24"/>
                <w:lang w:val="de-DE"/>
              </w:rPr>
              <w:t>GmbH &amp; Co. KG</w:t>
            </w:r>
            <w:r w:rsidRPr="000B557A">
              <w:rPr>
                <w:rFonts w:asciiTheme="minorHAnsi" w:hAnsiTheme="minorHAnsi"/>
                <w:sz w:val="24"/>
                <w:lang w:val="de-DE"/>
              </w:rPr>
              <w:br/>
              <w:t xml:space="preserve">Im Kühlen Grund 10, </w:t>
            </w:r>
            <w:r w:rsidR="00FA4004">
              <w:rPr>
                <w:rFonts w:asciiTheme="minorHAnsi" w:hAnsiTheme="minorHAnsi"/>
                <w:sz w:val="24"/>
                <w:lang w:val="de-DE"/>
              </w:rPr>
              <w:t>D-</w:t>
            </w:r>
            <w:r w:rsidRPr="000B557A">
              <w:rPr>
                <w:rFonts w:asciiTheme="minorHAnsi" w:hAnsiTheme="minorHAnsi"/>
                <w:sz w:val="24"/>
                <w:lang w:val="de-DE"/>
              </w:rPr>
              <w:t>64823 Groß-Umstadt</w:t>
            </w:r>
            <w:r w:rsidRPr="000B557A">
              <w:rPr>
                <w:rFonts w:asciiTheme="minorHAnsi" w:hAnsiTheme="minorHAnsi"/>
                <w:sz w:val="24"/>
                <w:lang w:val="de-DE"/>
              </w:rPr>
              <w:br/>
              <w:t>Tel.: +49 6078 9363-13</w:t>
            </w:r>
            <w:r w:rsidR="00FA4004">
              <w:rPr>
                <w:rFonts w:asciiTheme="minorHAnsi" w:hAnsiTheme="minorHAnsi"/>
                <w:sz w:val="24"/>
                <w:lang w:val="de-DE"/>
              </w:rPr>
              <w:t xml:space="preserve">, </w:t>
            </w:r>
            <w:r w:rsidRPr="000B557A">
              <w:rPr>
                <w:rFonts w:asciiTheme="minorHAnsi" w:hAnsiTheme="minorHAnsi"/>
                <w:sz w:val="24"/>
                <w:lang w:val="de-DE"/>
              </w:rPr>
              <w:t>mail@konsens.de</w:t>
            </w:r>
          </w:p>
        </w:tc>
      </w:tr>
    </w:tbl>
    <w:p w14:paraId="2787CD74" w14:textId="14E79119" w:rsidR="00FD4562" w:rsidRPr="008C6FA2" w:rsidRDefault="00596B7E" w:rsidP="00FA4004">
      <w:pPr>
        <w:pStyle w:val="Textkrper"/>
        <w:spacing w:before="0"/>
        <w:ind w:right="-142"/>
        <w:jc w:val="center"/>
        <w:rPr>
          <w:rFonts w:asciiTheme="minorHAnsi" w:hAnsiTheme="minorHAnsi" w:cstheme="minorHAnsi"/>
          <w:b/>
          <w:bCs/>
          <w:iCs/>
          <w:color w:val="0000FF"/>
          <w:szCs w:val="22"/>
          <w:u w:val="single"/>
          <w:rtl/>
        </w:rPr>
      </w:pPr>
      <w:r>
        <w:rPr>
          <w:rFonts w:asciiTheme="minorHAnsi" w:hAnsiTheme="minorHAnsi"/>
        </w:rPr>
        <w:t xml:space="preserve">Los textos y las ilustraciones referentes a los comunicados de prensa de Tosaf están disponibles para su descarga en </w:t>
      </w:r>
      <w:r>
        <w:rPr>
          <w:rFonts w:asciiTheme="minorHAnsi" w:hAnsiTheme="minorHAnsi"/>
          <w:i w:val="0"/>
        </w:rPr>
        <w:t xml:space="preserve"> </w:t>
      </w:r>
      <w:hyperlink r:id="rId10" w:history="1">
        <w:r w:rsidR="00135FAE" w:rsidRPr="007B0131">
          <w:rPr>
            <w:rStyle w:val="Hyperlink"/>
            <w:rFonts w:asciiTheme="minorHAnsi" w:hAnsiTheme="minorHAnsi"/>
            <w:b/>
          </w:rPr>
          <w:t>https://www.konsens</w:t>
        </w:r>
        <w:r w:rsidR="00135FAE" w:rsidRPr="007B0131">
          <w:rPr>
            <w:rStyle w:val="Hyperlink"/>
            <w:rFonts w:asciiTheme="minorHAnsi" w:hAnsiTheme="minorHAnsi"/>
            <w:b/>
          </w:rPr>
          <w:t>.</w:t>
        </w:r>
        <w:r w:rsidR="00135FAE" w:rsidRPr="007B0131">
          <w:rPr>
            <w:rStyle w:val="Hyperlink"/>
            <w:rFonts w:asciiTheme="minorHAnsi" w:hAnsiTheme="minorHAnsi"/>
            <w:b/>
          </w:rPr>
          <w:t>de/tosaf</w:t>
        </w:r>
      </w:hyperlink>
      <w:r w:rsidR="00135FAE">
        <w:rPr>
          <w:rFonts w:asciiTheme="minorHAnsi" w:hAnsiTheme="minorHAnsi"/>
          <w:b/>
        </w:rPr>
        <w:t xml:space="preserve"> </w:t>
      </w:r>
    </w:p>
    <w:sectPr w:rsidR="00FD4562" w:rsidRPr="008C6FA2" w:rsidSect="00FA4004">
      <w:headerReference w:type="default" r:id="rId11"/>
      <w:pgSz w:w="11907" w:h="16839" w:code="9"/>
      <w:pgMar w:top="2552" w:right="1440" w:bottom="1560" w:left="1701" w:header="720" w:footer="1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67C4" w14:textId="77777777" w:rsidR="009C4644" w:rsidRDefault="009C4644" w:rsidP="00BB5399">
      <w:pPr>
        <w:spacing w:after="0" w:line="240" w:lineRule="auto"/>
      </w:pPr>
      <w:r>
        <w:separator/>
      </w:r>
    </w:p>
  </w:endnote>
  <w:endnote w:type="continuationSeparator" w:id="0">
    <w:p w14:paraId="4F8E6E2E" w14:textId="77777777" w:rsidR="009C4644" w:rsidRDefault="009C4644" w:rsidP="00BB5399">
      <w:pPr>
        <w:spacing w:after="0" w:line="240" w:lineRule="auto"/>
      </w:pPr>
      <w:r>
        <w:continuationSeparator/>
      </w:r>
    </w:p>
  </w:endnote>
  <w:endnote w:type="continuationNotice" w:id="1">
    <w:p w14:paraId="1266760D" w14:textId="77777777" w:rsidR="009C4644" w:rsidRDefault="009C4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ni Neue DL 4.0 AAA Light">
    <w:panose1 w:val="00000000000000000000"/>
    <w:charset w:val="00"/>
    <w:family w:val="modern"/>
    <w:notTrueType/>
    <w:pitch w:val="variable"/>
    <w:sig w:usb0="00000807" w:usb1="40000000" w:usb2="00000000" w:usb3="00000000" w:csb0="000000B3"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38E0" w14:textId="77777777" w:rsidR="009C4644" w:rsidRDefault="009C4644" w:rsidP="00BB5399">
      <w:pPr>
        <w:spacing w:after="0" w:line="240" w:lineRule="auto"/>
      </w:pPr>
      <w:r>
        <w:separator/>
      </w:r>
    </w:p>
  </w:footnote>
  <w:footnote w:type="continuationSeparator" w:id="0">
    <w:p w14:paraId="140E96D2" w14:textId="77777777" w:rsidR="009C4644" w:rsidRDefault="009C4644" w:rsidP="00BB5399">
      <w:pPr>
        <w:spacing w:after="0" w:line="240" w:lineRule="auto"/>
      </w:pPr>
      <w:r>
        <w:continuationSeparator/>
      </w:r>
    </w:p>
  </w:footnote>
  <w:footnote w:type="continuationNotice" w:id="1">
    <w:p w14:paraId="792DDA53" w14:textId="77777777" w:rsidR="009C4644" w:rsidRDefault="009C4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070" w14:textId="77777777" w:rsidR="00BB5399" w:rsidRPr="00C9497A" w:rsidRDefault="00382626" w:rsidP="00C9497A">
    <w:pPr>
      <w:pStyle w:val="Kopfzeile"/>
    </w:pPr>
    <w:r>
      <w:rPr>
        <w:noProof/>
      </w:rPr>
      <w:drawing>
        <wp:anchor distT="0" distB="0" distL="114300" distR="114300" simplePos="0" relativeHeight="251660288" behindDoc="0" locked="0" layoutInCell="1" allowOverlap="1" wp14:anchorId="0F0B165A" wp14:editId="630BC9CD">
          <wp:simplePos x="0" y="0"/>
          <wp:positionH relativeFrom="column">
            <wp:posOffset>-1080135</wp:posOffset>
          </wp:positionH>
          <wp:positionV relativeFrom="paragraph">
            <wp:posOffset>-457200</wp:posOffset>
          </wp:positionV>
          <wp:extent cx="7553238" cy="10684176"/>
          <wp:effectExtent l="0" t="0" r="0" b="9525"/>
          <wp:wrapNone/>
          <wp:docPr id="6"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1B8C"/>
    <w:multiLevelType w:val="hybridMultilevel"/>
    <w:tmpl w:val="E57E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839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7A"/>
    <w:rsid w:val="000006C6"/>
    <w:rsid w:val="0000591A"/>
    <w:rsid w:val="0002275E"/>
    <w:rsid w:val="00051890"/>
    <w:rsid w:val="00057554"/>
    <w:rsid w:val="00064052"/>
    <w:rsid w:val="000826E0"/>
    <w:rsid w:val="000940A6"/>
    <w:rsid w:val="000B02BE"/>
    <w:rsid w:val="000B557A"/>
    <w:rsid w:val="000B74C8"/>
    <w:rsid w:val="000D0B4A"/>
    <w:rsid w:val="000E77D1"/>
    <w:rsid w:val="000F6A40"/>
    <w:rsid w:val="00100C9D"/>
    <w:rsid w:val="00135FAE"/>
    <w:rsid w:val="00140329"/>
    <w:rsid w:val="0014181A"/>
    <w:rsid w:val="001448CF"/>
    <w:rsid w:val="00145C60"/>
    <w:rsid w:val="00152ADD"/>
    <w:rsid w:val="001551E2"/>
    <w:rsid w:val="00171050"/>
    <w:rsid w:val="0019528D"/>
    <w:rsid w:val="00196F91"/>
    <w:rsid w:val="001A461A"/>
    <w:rsid w:val="001A5478"/>
    <w:rsid w:val="001C6402"/>
    <w:rsid w:val="001D57B9"/>
    <w:rsid w:val="00204E4A"/>
    <w:rsid w:val="00224BDB"/>
    <w:rsid w:val="0022693C"/>
    <w:rsid w:val="0025567F"/>
    <w:rsid w:val="0028429F"/>
    <w:rsid w:val="00290368"/>
    <w:rsid w:val="002A4ACC"/>
    <w:rsid w:val="002B3ECE"/>
    <w:rsid w:val="002D7B4B"/>
    <w:rsid w:val="0031694A"/>
    <w:rsid w:val="003240A9"/>
    <w:rsid w:val="003414FF"/>
    <w:rsid w:val="003652E6"/>
    <w:rsid w:val="00371F93"/>
    <w:rsid w:val="00382626"/>
    <w:rsid w:val="003972EF"/>
    <w:rsid w:val="003C7A7B"/>
    <w:rsid w:val="003D5F72"/>
    <w:rsid w:val="0040556D"/>
    <w:rsid w:val="0045533D"/>
    <w:rsid w:val="004603E9"/>
    <w:rsid w:val="004A696D"/>
    <w:rsid w:val="004B7C00"/>
    <w:rsid w:val="004C52C7"/>
    <w:rsid w:val="004F5225"/>
    <w:rsid w:val="00527D4A"/>
    <w:rsid w:val="00531A23"/>
    <w:rsid w:val="00534840"/>
    <w:rsid w:val="00542DB2"/>
    <w:rsid w:val="005768CB"/>
    <w:rsid w:val="0057776D"/>
    <w:rsid w:val="00596B7E"/>
    <w:rsid w:val="005F096D"/>
    <w:rsid w:val="005F4329"/>
    <w:rsid w:val="00601CDF"/>
    <w:rsid w:val="006252A2"/>
    <w:rsid w:val="00660CDF"/>
    <w:rsid w:val="00662A16"/>
    <w:rsid w:val="006653BE"/>
    <w:rsid w:val="00667F70"/>
    <w:rsid w:val="0069468A"/>
    <w:rsid w:val="006C4BF4"/>
    <w:rsid w:val="006F25B1"/>
    <w:rsid w:val="006F7AF6"/>
    <w:rsid w:val="007021D7"/>
    <w:rsid w:val="00707569"/>
    <w:rsid w:val="00723AE6"/>
    <w:rsid w:val="00727A45"/>
    <w:rsid w:val="00736D00"/>
    <w:rsid w:val="00741E7C"/>
    <w:rsid w:val="00754507"/>
    <w:rsid w:val="007554D1"/>
    <w:rsid w:val="007627C0"/>
    <w:rsid w:val="00794D86"/>
    <w:rsid w:val="007A1640"/>
    <w:rsid w:val="007A3720"/>
    <w:rsid w:val="007A6040"/>
    <w:rsid w:val="007B11BD"/>
    <w:rsid w:val="007C4B31"/>
    <w:rsid w:val="007E79F6"/>
    <w:rsid w:val="007E7BA0"/>
    <w:rsid w:val="00826911"/>
    <w:rsid w:val="00831AEA"/>
    <w:rsid w:val="008322F2"/>
    <w:rsid w:val="00853A40"/>
    <w:rsid w:val="0085526B"/>
    <w:rsid w:val="008555EF"/>
    <w:rsid w:val="0086308B"/>
    <w:rsid w:val="0087549E"/>
    <w:rsid w:val="00881A41"/>
    <w:rsid w:val="008C6FA2"/>
    <w:rsid w:val="008D7AD5"/>
    <w:rsid w:val="00905648"/>
    <w:rsid w:val="009133C5"/>
    <w:rsid w:val="0092052A"/>
    <w:rsid w:val="00945782"/>
    <w:rsid w:val="009828C4"/>
    <w:rsid w:val="009C160F"/>
    <w:rsid w:val="009C411F"/>
    <w:rsid w:val="009C4644"/>
    <w:rsid w:val="009D26F9"/>
    <w:rsid w:val="009F16E3"/>
    <w:rsid w:val="009F5EF1"/>
    <w:rsid w:val="00A245F6"/>
    <w:rsid w:val="00A3096B"/>
    <w:rsid w:val="00A433CD"/>
    <w:rsid w:val="00A638E7"/>
    <w:rsid w:val="00AA4693"/>
    <w:rsid w:val="00AA5D61"/>
    <w:rsid w:val="00AC38DB"/>
    <w:rsid w:val="00AE5AD7"/>
    <w:rsid w:val="00B32C51"/>
    <w:rsid w:val="00B35F1A"/>
    <w:rsid w:val="00B605DB"/>
    <w:rsid w:val="00B61D2D"/>
    <w:rsid w:val="00B7770C"/>
    <w:rsid w:val="00BA3EE8"/>
    <w:rsid w:val="00BB0575"/>
    <w:rsid w:val="00BB0A68"/>
    <w:rsid w:val="00BB4711"/>
    <w:rsid w:val="00BB5399"/>
    <w:rsid w:val="00BC269F"/>
    <w:rsid w:val="00BE3299"/>
    <w:rsid w:val="00BE5ED8"/>
    <w:rsid w:val="00C22341"/>
    <w:rsid w:val="00C42796"/>
    <w:rsid w:val="00C5501F"/>
    <w:rsid w:val="00C55D30"/>
    <w:rsid w:val="00C7197F"/>
    <w:rsid w:val="00C92CD1"/>
    <w:rsid w:val="00C9497A"/>
    <w:rsid w:val="00CA3090"/>
    <w:rsid w:val="00CA4C6A"/>
    <w:rsid w:val="00CB16CE"/>
    <w:rsid w:val="00CC25D8"/>
    <w:rsid w:val="00CC5C47"/>
    <w:rsid w:val="00CC7347"/>
    <w:rsid w:val="00D12496"/>
    <w:rsid w:val="00D2134E"/>
    <w:rsid w:val="00D247B1"/>
    <w:rsid w:val="00D33A02"/>
    <w:rsid w:val="00D400AF"/>
    <w:rsid w:val="00D43012"/>
    <w:rsid w:val="00D516CD"/>
    <w:rsid w:val="00D531F2"/>
    <w:rsid w:val="00D60FD8"/>
    <w:rsid w:val="00D73414"/>
    <w:rsid w:val="00D746FA"/>
    <w:rsid w:val="00D77616"/>
    <w:rsid w:val="00D97082"/>
    <w:rsid w:val="00DA2C15"/>
    <w:rsid w:val="00DB31B7"/>
    <w:rsid w:val="00DC1C7F"/>
    <w:rsid w:val="00DD36EF"/>
    <w:rsid w:val="00DE0EA1"/>
    <w:rsid w:val="00DE52B0"/>
    <w:rsid w:val="00E211AA"/>
    <w:rsid w:val="00E43F0C"/>
    <w:rsid w:val="00E65608"/>
    <w:rsid w:val="00E71215"/>
    <w:rsid w:val="00E83603"/>
    <w:rsid w:val="00EA40A2"/>
    <w:rsid w:val="00ED35BF"/>
    <w:rsid w:val="00ED3A51"/>
    <w:rsid w:val="00EE7531"/>
    <w:rsid w:val="00EF5E4F"/>
    <w:rsid w:val="00F0172C"/>
    <w:rsid w:val="00F25471"/>
    <w:rsid w:val="00F324C2"/>
    <w:rsid w:val="00F50EA4"/>
    <w:rsid w:val="00F52963"/>
    <w:rsid w:val="00F62173"/>
    <w:rsid w:val="00F65B77"/>
    <w:rsid w:val="00F66D17"/>
    <w:rsid w:val="00F724B6"/>
    <w:rsid w:val="00F948C2"/>
    <w:rsid w:val="00FA09EC"/>
    <w:rsid w:val="00FA4004"/>
    <w:rsid w:val="00FB2268"/>
    <w:rsid w:val="00FD4562"/>
    <w:rsid w:val="00FF0C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68DE"/>
  <w15:docId w15:val="{1466D626-5C36-42A0-B68A-BF2B646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4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rPr>
  </w:style>
  <w:style w:type="character" w:styleId="Hyperlink">
    <w:name w:val="Hyperlink"/>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720"/>
    <w:pPr>
      <w:ind w:left="720"/>
      <w:contextualSpacing/>
    </w:pPr>
  </w:style>
  <w:style w:type="character" w:styleId="Kommentarzeichen">
    <w:name w:val="annotation reference"/>
    <w:basedOn w:val="Absatz-Standardschriftart"/>
    <w:uiPriority w:val="99"/>
    <w:semiHidden/>
    <w:unhideWhenUsed/>
    <w:rsid w:val="00CC7347"/>
    <w:rPr>
      <w:sz w:val="16"/>
      <w:szCs w:val="16"/>
    </w:rPr>
  </w:style>
  <w:style w:type="paragraph" w:styleId="Kommentartext">
    <w:name w:val="annotation text"/>
    <w:basedOn w:val="Standard"/>
    <w:link w:val="KommentartextZchn"/>
    <w:uiPriority w:val="99"/>
    <w:semiHidden/>
    <w:unhideWhenUsed/>
    <w:rsid w:val="00CC73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7347"/>
    <w:rPr>
      <w:rFonts w:ascii="Calibri" w:eastAsia="Calibri" w:hAnsi="Calibri" w:cs="Times New Roman"/>
      <w:sz w:val="20"/>
      <w:szCs w:val="20"/>
      <w:lang w:val="es-ES"/>
    </w:rPr>
  </w:style>
  <w:style w:type="paragraph" w:styleId="Kommentarthema">
    <w:name w:val="annotation subject"/>
    <w:basedOn w:val="Kommentartext"/>
    <w:next w:val="Kommentartext"/>
    <w:link w:val="KommentarthemaZchn"/>
    <w:uiPriority w:val="99"/>
    <w:semiHidden/>
    <w:unhideWhenUsed/>
    <w:rsid w:val="00CC7347"/>
    <w:rPr>
      <w:b/>
      <w:bCs/>
    </w:rPr>
  </w:style>
  <w:style w:type="character" w:customStyle="1" w:styleId="KommentarthemaZchn">
    <w:name w:val="Kommentarthema Zchn"/>
    <w:basedOn w:val="KommentartextZchn"/>
    <w:link w:val="Kommentarthema"/>
    <w:uiPriority w:val="99"/>
    <w:semiHidden/>
    <w:rsid w:val="00CC7347"/>
    <w:rPr>
      <w:rFonts w:ascii="Calibri" w:eastAsia="Calibri" w:hAnsi="Calibri" w:cs="Times New Roman"/>
      <w:b/>
      <w:bCs/>
      <w:sz w:val="20"/>
      <w:szCs w:val="20"/>
      <w:lang w:val="es-ES"/>
    </w:rPr>
  </w:style>
  <w:style w:type="paragraph" w:styleId="Textkrper">
    <w:name w:val="Body Text"/>
    <w:basedOn w:val="Standard"/>
    <w:link w:val="TextkrperZchn"/>
    <w:rsid w:val="00A433CD"/>
    <w:pPr>
      <w:pBdr>
        <w:top w:val="single" w:sz="4" w:space="0" w:color="auto"/>
        <w:left w:val="single" w:sz="4" w:space="4" w:color="auto"/>
        <w:bottom w:val="single" w:sz="4" w:space="0" w:color="auto"/>
        <w:right w:val="single" w:sz="4" w:space="4" w:color="auto"/>
      </w:pBdr>
      <w:shd w:val="pct10" w:color="auto" w:fill="FFFFFF"/>
      <w:spacing w:before="40" w:after="0" w:line="240" w:lineRule="auto"/>
      <w:ind w:right="-143"/>
    </w:pPr>
    <w:rPr>
      <w:rFonts w:ascii="Univers" w:eastAsia="Times New Roman" w:hAnsi="Univers"/>
      <w:i/>
      <w:szCs w:val="20"/>
      <w:lang w:eastAsia="de-DE"/>
    </w:rPr>
  </w:style>
  <w:style w:type="character" w:customStyle="1" w:styleId="TextkrperZchn">
    <w:name w:val="Textkörper Zchn"/>
    <w:basedOn w:val="Absatz-Standardschriftart"/>
    <w:link w:val="Textkrper"/>
    <w:rsid w:val="00A433CD"/>
    <w:rPr>
      <w:rFonts w:ascii="Univers" w:eastAsia="Times New Roman" w:hAnsi="Univers" w:cs="Times New Roman"/>
      <w:i/>
      <w:szCs w:val="20"/>
      <w:shd w:val="pct10" w:color="auto" w:fill="FFFFFF"/>
      <w:lang w:val="es-ES" w:eastAsia="de-DE"/>
    </w:rPr>
  </w:style>
  <w:style w:type="paragraph" w:styleId="berarbeitung">
    <w:name w:val="Revision"/>
    <w:hidden/>
    <w:uiPriority w:val="99"/>
    <w:semiHidden/>
    <w:rsid w:val="00853A40"/>
    <w:pPr>
      <w:spacing w:after="0" w:line="240" w:lineRule="auto"/>
    </w:pPr>
    <w:rPr>
      <w:rFonts w:ascii="Calibri" w:eastAsia="Calibri" w:hAnsi="Calibri" w:cs="Times New Roman"/>
    </w:rPr>
  </w:style>
  <w:style w:type="paragraph" w:styleId="Titel">
    <w:name w:val="Title"/>
    <w:basedOn w:val="Standard"/>
    <w:next w:val="Standard"/>
    <w:link w:val="TitelZchn"/>
    <w:uiPriority w:val="10"/>
    <w:qFormat/>
    <w:rsid w:val="008754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7549E"/>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135FAE"/>
    <w:rPr>
      <w:color w:val="605E5C"/>
      <w:shd w:val="clear" w:color="auto" w:fill="E1DFDD"/>
    </w:rPr>
  </w:style>
  <w:style w:type="character" w:styleId="BesuchterLink">
    <w:name w:val="FollowedHyperlink"/>
    <w:basedOn w:val="Absatz-Standardschriftart"/>
    <w:uiPriority w:val="99"/>
    <w:semiHidden/>
    <w:unhideWhenUsed/>
    <w:rsid w:val="00135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9503">
      <w:bodyDiv w:val="1"/>
      <w:marLeft w:val="0"/>
      <w:marRight w:val="0"/>
      <w:marTop w:val="0"/>
      <w:marBottom w:val="0"/>
      <w:divBdr>
        <w:top w:val="none" w:sz="0" w:space="0" w:color="auto"/>
        <w:left w:val="none" w:sz="0" w:space="0" w:color="auto"/>
        <w:bottom w:val="none" w:sz="0" w:space="0" w:color="auto"/>
        <w:right w:val="none" w:sz="0" w:space="0" w:color="auto"/>
      </w:divBdr>
    </w:div>
    <w:div w:id="965936062">
      <w:bodyDiv w:val="1"/>
      <w:marLeft w:val="0"/>
      <w:marRight w:val="0"/>
      <w:marTop w:val="0"/>
      <w:marBottom w:val="0"/>
      <w:divBdr>
        <w:top w:val="none" w:sz="0" w:space="0" w:color="auto"/>
        <w:left w:val="none" w:sz="0" w:space="0" w:color="auto"/>
        <w:bottom w:val="none" w:sz="0" w:space="0" w:color="auto"/>
        <w:right w:val="none" w:sz="0" w:space="0" w:color="auto"/>
      </w:divBdr>
    </w:div>
    <w:div w:id="1126966931">
      <w:bodyDiv w:val="1"/>
      <w:marLeft w:val="0"/>
      <w:marRight w:val="0"/>
      <w:marTop w:val="0"/>
      <w:marBottom w:val="0"/>
      <w:divBdr>
        <w:top w:val="none" w:sz="0" w:space="0" w:color="auto"/>
        <w:left w:val="none" w:sz="0" w:space="0" w:color="auto"/>
        <w:bottom w:val="none" w:sz="0" w:space="0" w:color="auto"/>
        <w:right w:val="none" w:sz="0" w:space="0" w:color="auto"/>
      </w:divBdr>
    </w:div>
    <w:div w:id="21020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onsens.de/tosaf"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0FBC-9A3A-41E4-A32C-DF33BB98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4291</Characters>
  <Application>Microsoft Office Word</Application>
  <DocSecurity>0</DocSecurity>
  <Lines>35</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Ursula Herrmann</cp:lastModifiedBy>
  <cp:revision>2</cp:revision>
  <dcterms:created xsi:type="dcterms:W3CDTF">2022-09-16T08:24:00Z</dcterms:created>
  <dcterms:modified xsi:type="dcterms:W3CDTF">2022-09-16T08:24:00Z</dcterms:modified>
</cp:coreProperties>
</file>