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EA48" w14:textId="51008D96" w:rsidR="00E873EA" w:rsidRDefault="000243FE" w:rsidP="000243FE">
      <w:pPr>
        <w:spacing w:before="240" w:after="100" w:afterAutospacing="1" w:line="240" w:lineRule="auto"/>
        <w:rPr>
          <w:rFonts w:asciiTheme="minorBidi" w:hAnsiTheme="minorBidi" w:cstheme="minorBidi"/>
          <w:b/>
          <w:sz w:val="40"/>
          <w:szCs w:val="40"/>
        </w:rPr>
      </w:pPr>
      <w:r>
        <w:rPr>
          <w:rFonts w:asciiTheme="minorBidi" w:hAnsiTheme="minorBidi" w:cstheme="minorBidi"/>
          <w:b/>
          <w:sz w:val="32"/>
          <w:szCs w:val="32"/>
        </w:rPr>
        <w:t>TechnoCompound auf der Fakuma 2026</w:t>
      </w:r>
      <w:r w:rsidR="00E873EA" w:rsidRPr="00E873EA">
        <w:rPr>
          <w:rFonts w:asciiTheme="minorBidi" w:hAnsiTheme="minorBidi" w:cstheme="minorBidi"/>
          <w:b/>
          <w:sz w:val="32"/>
          <w:szCs w:val="32"/>
        </w:rPr>
        <w:t>:</w:t>
      </w:r>
      <w:r w:rsidR="00E873EA" w:rsidRPr="00E873EA">
        <w:rPr>
          <w:rFonts w:ascii="Times New Roman" w:hAnsi="Times New Roman"/>
          <w:bCs/>
          <w:sz w:val="32"/>
          <w:szCs w:val="32"/>
        </w:rPr>
        <w:br/>
      </w:r>
      <w:r w:rsidR="00856C7D">
        <w:rPr>
          <w:rFonts w:asciiTheme="minorBidi" w:hAnsiTheme="minorBidi" w:cstheme="minorBidi"/>
          <w:b/>
          <w:sz w:val="40"/>
          <w:szCs w:val="40"/>
        </w:rPr>
        <w:t>Nachhaltige Compounds für E&amp;E-</w:t>
      </w:r>
      <w:r w:rsidR="00E13704">
        <w:rPr>
          <w:rFonts w:asciiTheme="minorBidi" w:hAnsiTheme="minorBidi" w:cstheme="minorBidi"/>
          <w:b/>
          <w:sz w:val="40"/>
          <w:szCs w:val="40"/>
        </w:rPr>
        <w:t xml:space="preserve"> und Automobil-</w:t>
      </w:r>
      <w:r w:rsidR="00856C7D">
        <w:rPr>
          <w:rFonts w:asciiTheme="minorBidi" w:hAnsiTheme="minorBidi" w:cstheme="minorBidi"/>
          <w:b/>
          <w:sz w:val="40"/>
          <w:szCs w:val="40"/>
        </w:rPr>
        <w:t>Anwendungen</w:t>
      </w:r>
    </w:p>
    <w:p w14:paraId="0F87A6B2" w14:textId="4A38B33B" w:rsidR="000243FE" w:rsidRDefault="00E873EA" w:rsidP="00876616">
      <w:pPr>
        <w:spacing w:before="100" w:beforeAutospacing="1" w:after="100" w:afterAutospacing="1" w:line="340" w:lineRule="exact"/>
        <w:rPr>
          <w:rFonts w:cs="Arial"/>
          <w:color w:val="auto"/>
          <w:lang w:eastAsia="de-DE"/>
        </w:rPr>
      </w:pPr>
      <w:r w:rsidRPr="00E873EA">
        <w:rPr>
          <w:rFonts w:cs="Arial"/>
          <w:color w:val="auto"/>
          <w:lang w:eastAsia="de-DE"/>
        </w:rPr>
        <w:t xml:space="preserve">Bad Sobernheim/Deutschland, </w:t>
      </w:r>
      <w:r w:rsidR="00C32956">
        <w:rPr>
          <w:rFonts w:cs="Arial"/>
          <w:color w:val="auto"/>
          <w:lang w:eastAsia="de-DE"/>
        </w:rPr>
        <w:t>Oktober</w:t>
      </w:r>
      <w:r w:rsidRPr="00E873EA">
        <w:rPr>
          <w:rFonts w:cs="Arial"/>
          <w:color w:val="auto"/>
          <w:lang w:eastAsia="de-DE"/>
        </w:rPr>
        <w:t xml:space="preserve"> 2026. </w:t>
      </w:r>
      <w:r w:rsidR="00FA77F0" w:rsidRPr="00FA77F0">
        <w:rPr>
          <w:rFonts w:cs="Arial"/>
          <w:color w:val="auto"/>
          <w:lang w:eastAsia="de-DE"/>
        </w:rPr>
        <w:t>TechnoCompound</w:t>
      </w:r>
      <w:r w:rsidR="00767D38">
        <w:rPr>
          <w:rFonts w:cs="Arial"/>
          <w:color w:val="auto"/>
          <w:lang w:eastAsia="de-DE"/>
        </w:rPr>
        <w:t>,</w:t>
      </w:r>
      <w:r w:rsidR="00767D38" w:rsidRPr="00767D38">
        <w:t xml:space="preserve"> </w:t>
      </w:r>
      <w:r w:rsidR="00767D38" w:rsidRPr="00767D38">
        <w:rPr>
          <w:rFonts w:cs="Arial"/>
          <w:color w:val="auto"/>
          <w:lang w:eastAsia="de-DE"/>
        </w:rPr>
        <w:t>ein führender Anbieter maßgeschneiderte</w:t>
      </w:r>
      <w:r w:rsidR="00767D38">
        <w:rPr>
          <w:rFonts w:cs="Arial"/>
          <w:color w:val="auto"/>
          <w:lang w:eastAsia="de-DE"/>
        </w:rPr>
        <w:t>r</w:t>
      </w:r>
      <w:r w:rsidR="00767D38" w:rsidRPr="00767D38">
        <w:rPr>
          <w:rFonts w:cs="Arial"/>
          <w:color w:val="auto"/>
          <w:lang w:eastAsia="de-DE"/>
        </w:rPr>
        <w:t xml:space="preserve"> </w:t>
      </w:r>
      <w:r w:rsidR="00767D38">
        <w:rPr>
          <w:rFonts w:cs="Arial"/>
          <w:color w:val="auto"/>
          <w:lang w:eastAsia="de-DE"/>
        </w:rPr>
        <w:t>Thermoplast</w:t>
      </w:r>
      <w:r w:rsidR="00767D38" w:rsidRPr="00767D38">
        <w:rPr>
          <w:rFonts w:cs="Arial"/>
          <w:color w:val="auto"/>
          <w:lang w:eastAsia="de-DE"/>
        </w:rPr>
        <w:t>-Compounds in Europa</w:t>
      </w:r>
      <w:r w:rsidR="00767D38">
        <w:rPr>
          <w:rFonts w:cs="Arial"/>
          <w:color w:val="auto"/>
          <w:lang w:eastAsia="de-DE"/>
        </w:rPr>
        <w:t>,</w:t>
      </w:r>
      <w:r w:rsidR="00FA77F0" w:rsidRPr="00FA77F0">
        <w:rPr>
          <w:rFonts w:cs="Arial"/>
          <w:color w:val="auto"/>
          <w:lang w:eastAsia="de-DE"/>
        </w:rPr>
        <w:t xml:space="preserve"> </w:t>
      </w:r>
      <w:r w:rsidR="00F83B95">
        <w:rPr>
          <w:rFonts w:cs="Arial"/>
          <w:color w:val="auto"/>
          <w:lang w:eastAsia="de-DE"/>
        </w:rPr>
        <w:t xml:space="preserve">unterstreicht auf der Fakuma 2026 sein fortgesetztes Engagement rund um die Entwicklung </w:t>
      </w:r>
      <w:r w:rsidR="00767D38">
        <w:rPr>
          <w:rFonts w:cs="Arial"/>
          <w:color w:val="auto"/>
          <w:lang w:eastAsia="de-DE"/>
        </w:rPr>
        <w:t>nachhaltiger Kunststoffe. Dazu setzt das Unternehmen auf Stand A4-4217 in Halle A4 Schwerpunkte bei aktuell im Markt verfügbar gewordenen Werkstoffentwicklungen</w:t>
      </w:r>
      <w:r w:rsidR="00856C7D">
        <w:rPr>
          <w:rFonts w:cs="Arial"/>
          <w:color w:val="auto"/>
          <w:lang w:eastAsia="de-DE"/>
        </w:rPr>
        <w:t xml:space="preserve"> für elektrische und elektronische Komponenten, unter anderem für die Elektromobilität</w:t>
      </w:r>
      <w:r w:rsidR="00767D38">
        <w:rPr>
          <w:rFonts w:cs="Arial"/>
          <w:color w:val="auto"/>
          <w:lang w:eastAsia="de-DE"/>
        </w:rPr>
        <w:t xml:space="preserve">. </w:t>
      </w:r>
      <w:r w:rsidR="00E13704">
        <w:rPr>
          <w:rFonts w:cs="Arial"/>
          <w:color w:val="auto"/>
          <w:lang w:eastAsia="de-DE"/>
        </w:rPr>
        <w:t xml:space="preserve">Drei </w:t>
      </w:r>
      <w:r w:rsidR="00767D38">
        <w:rPr>
          <w:rFonts w:cs="Arial"/>
          <w:color w:val="auto"/>
          <w:lang w:eastAsia="de-DE"/>
        </w:rPr>
        <w:t xml:space="preserve">Schwerpunkte </w:t>
      </w:r>
      <w:r w:rsidR="00E13704">
        <w:rPr>
          <w:rFonts w:cs="Arial"/>
          <w:color w:val="auto"/>
          <w:lang w:eastAsia="de-DE"/>
        </w:rPr>
        <w:t xml:space="preserve">sind </w:t>
      </w:r>
      <w:r w:rsidR="00856C7D">
        <w:rPr>
          <w:rFonts w:cs="Arial"/>
          <w:color w:val="auto"/>
          <w:lang w:eastAsia="de-DE"/>
        </w:rPr>
        <w:t xml:space="preserve">dabei </w:t>
      </w:r>
      <w:r w:rsidR="00767D38">
        <w:rPr>
          <w:rFonts w:cs="Arial"/>
          <w:color w:val="auto"/>
          <w:lang w:eastAsia="de-DE"/>
        </w:rPr>
        <w:t>die Themenbereiche elektromagnetische Abschirmung, elektrische Isolierung und Flammwidrigkeit.</w:t>
      </w:r>
    </w:p>
    <w:p w14:paraId="1A9DFE57" w14:textId="4DBBE0E1" w:rsidR="00905FF1" w:rsidRPr="00905FF1" w:rsidRDefault="00905FF1" w:rsidP="00876616">
      <w:pPr>
        <w:spacing w:before="120" w:line="340" w:lineRule="exact"/>
        <w:rPr>
          <w:rFonts w:cs="Arial"/>
          <w:b/>
          <w:color w:val="auto"/>
          <w:lang w:eastAsia="de-DE"/>
        </w:rPr>
      </w:pPr>
      <w:r w:rsidRPr="00905FF1">
        <w:rPr>
          <w:rFonts w:cs="Arial"/>
          <w:b/>
          <w:color w:val="auto"/>
          <w:lang w:eastAsia="de-DE"/>
        </w:rPr>
        <w:t xml:space="preserve">Elektromagnetische </w:t>
      </w:r>
      <w:r w:rsidR="00D82721">
        <w:rPr>
          <w:rFonts w:cs="Arial"/>
          <w:b/>
          <w:color w:val="auto"/>
          <w:lang w:eastAsia="de-DE"/>
        </w:rPr>
        <w:t>Abschirmung</w:t>
      </w:r>
    </w:p>
    <w:p w14:paraId="5C160E2A" w14:textId="5D067A48" w:rsidR="00767D38" w:rsidRDefault="00D82721" w:rsidP="00876616">
      <w:pPr>
        <w:spacing w:before="120" w:line="340" w:lineRule="exact"/>
        <w:rPr>
          <w:rFonts w:cs="Arial"/>
          <w:color w:val="auto"/>
          <w:lang w:eastAsia="de-DE"/>
        </w:rPr>
      </w:pPr>
      <w:r w:rsidRPr="00D82721">
        <w:rPr>
          <w:rFonts w:cs="Arial"/>
          <w:bCs/>
          <w:color w:val="auto"/>
          <w:lang w:eastAsia="de-DE"/>
        </w:rPr>
        <w:t xml:space="preserve">Die </w:t>
      </w:r>
      <w:r w:rsidR="00486F12">
        <w:rPr>
          <w:rFonts w:cs="Arial"/>
          <w:bCs/>
          <w:color w:val="auto"/>
          <w:lang w:eastAsia="de-DE"/>
        </w:rPr>
        <w:t xml:space="preserve">neuen </w:t>
      </w:r>
      <w:proofErr w:type="spellStart"/>
      <w:r w:rsidR="00486F12" w:rsidRPr="00486F12">
        <w:rPr>
          <w:rFonts w:cs="Arial"/>
          <w:bCs/>
          <w:color w:val="auto"/>
          <w:lang w:eastAsia="de-DE"/>
        </w:rPr>
        <w:t>Abso</w:t>
      </w:r>
      <w:r w:rsidR="0015557C">
        <w:rPr>
          <w:rFonts w:cs="Arial"/>
          <w:bCs/>
          <w:color w:val="auto"/>
          <w:lang w:eastAsia="de-DE"/>
        </w:rPr>
        <w:t>r</w:t>
      </w:r>
      <w:r w:rsidR="00486F12" w:rsidRPr="00486F12">
        <w:rPr>
          <w:rFonts w:cs="Arial"/>
          <w:bCs/>
          <w:color w:val="auto"/>
          <w:lang w:eastAsia="de-DE"/>
        </w:rPr>
        <w:t>bXX</w:t>
      </w:r>
      <w:proofErr w:type="spellEnd"/>
      <w:r w:rsidR="00486F12" w:rsidRPr="00486F12">
        <w:rPr>
          <w:rFonts w:cs="Arial"/>
          <w:bCs/>
          <w:color w:val="auto"/>
          <w:lang w:eastAsia="de-DE"/>
        </w:rPr>
        <w:t xml:space="preserve">-Produkte </w:t>
      </w:r>
      <w:r w:rsidR="00486F12">
        <w:rPr>
          <w:rFonts w:cs="Arial"/>
          <w:bCs/>
          <w:color w:val="auto"/>
          <w:lang w:eastAsia="de-DE"/>
        </w:rPr>
        <w:t xml:space="preserve">von TechnoCompound </w:t>
      </w:r>
      <w:r w:rsidR="00E34711">
        <w:rPr>
          <w:rFonts w:cs="Arial"/>
          <w:bCs/>
          <w:color w:val="auto"/>
          <w:lang w:eastAsia="de-DE"/>
        </w:rPr>
        <w:t>sind</w:t>
      </w:r>
      <w:r w:rsidR="00486F12">
        <w:rPr>
          <w:rFonts w:cs="Arial"/>
          <w:bCs/>
          <w:color w:val="auto"/>
          <w:lang w:eastAsia="de-DE"/>
        </w:rPr>
        <w:t xml:space="preserve"> </w:t>
      </w:r>
      <w:r w:rsidR="00486F12" w:rsidRPr="00486F12">
        <w:rPr>
          <w:rFonts w:cs="Arial"/>
          <w:bCs/>
          <w:color w:val="auto"/>
          <w:lang w:eastAsia="de-DE"/>
        </w:rPr>
        <w:t>elektromagnetisch abschirmende Kunststoffcompounds</w:t>
      </w:r>
      <w:r w:rsidR="0015557C">
        <w:rPr>
          <w:rFonts w:cs="Arial"/>
          <w:bCs/>
          <w:color w:val="auto"/>
          <w:lang w:eastAsia="de-DE"/>
        </w:rPr>
        <w:t xml:space="preserve"> als</w:t>
      </w:r>
      <w:r w:rsidR="00E34711">
        <w:rPr>
          <w:rFonts w:cs="Arial"/>
          <w:bCs/>
          <w:color w:val="auto"/>
          <w:lang w:eastAsia="de-DE"/>
        </w:rPr>
        <w:t xml:space="preserve"> </w:t>
      </w:r>
      <w:r w:rsidR="0015557C">
        <w:rPr>
          <w:rFonts w:cs="Arial"/>
          <w:color w:val="auto"/>
          <w:lang w:eastAsia="de-DE"/>
        </w:rPr>
        <w:t xml:space="preserve">leichtere und einfacher verarbeitbare </w:t>
      </w:r>
      <w:r w:rsidR="0015557C" w:rsidRPr="0015557C">
        <w:rPr>
          <w:rFonts w:cs="Arial"/>
          <w:color w:val="auto"/>
          <w:lang w:eastAsia="de-DE"/>
        </w:rPr>
        <w:t>Alternativen zu Metallen</w:t>
      </w:r>
      <w:r w:rsidR="0015557C">
        <w:rPr>
          <w:rFonts w:cs="Arial"/>
          <w:color w:val="auto"/>
          <w:lang w:eastAsia="de-DE"/>
        </w:rPr>
        <w:t>.</w:t>
      </w:r>
      <w:r w:rsidR="0015557C" w:rsidRPr="0015557C">
        <w:rPr>
          <w:rFonts w:cs="Arial"/>
          <w:color w:val="auto"/>
          <w:lang w:eastAsia="de-DE"/>
        </w:rPr>
        <w:t xml:space="preserve"> </w:t>
      </w:r>
      <w:r w:rsidR="00E34711">
        <w:rPr>
          <w:rFonts w:cs="Arial"/>
          <w:bCs/>
          <w:color w:val="auto"/>
          <w:lang w:eastAsia="de-DE"/>
        </w:rPr>
        <w:t xml:space="preserve">Sie basieren </w:t>
      </w:r>
      <w:r w:rsidR="00E34711" w:rsidRPr="00486F12">
        <w:rPr>
          <w:rFonts w:cs="Arial"/>
          <w:color w:val="auto"/>
          <w:lang w:eastAsia="de-DE"/>
        </w:rPr>
        <w:t xml:space="preserve">insbesondere </w:t>
      </w:r>
      <w:r w:rsidR="00486F12" w:rsidRPr="00486F12">
        <w:rPr>
          <w:rFonts w:cs="Arial"/>
          <w:bCs/>
          <w:color w:val="auto"/>
          <w:lang w:eastAsia="de-DE"/>
        </w:rPr>
        <w:t xml:space="preserve">auf </w:t>
      </w:r>
      <w:r w:rsidR="00E34711" w:rsidRPr="00486F12">
        <w:rPr>
          <w:rFonts w:cs="Arial"/>
          <w:color w:val="auto"/>
          <w:lang w:eastAsia="de-DE"/>
        </w:rPr>
        <w:t>Polyamid</w:t>
      </w:r>
      <w:r w:rsidR="00E34711">
        <w:rPr>
          <w:rFonts w:cs="Arial"/>
          <w:color w:val="auto"/>
          <w:lang w:eastAsia="de-DE"/>
        </w:rPr>
        <w:t xml:space="preserve"> </w:t>
      </w:r>
      <w:r w:rsidR="00E34711" w:rsidRPr="00486F12">
        <w:rPr>
          <w:rFonts w:cs="Arial"/>
          <w:color w:val="auto"/>
          <w:lang w:eastAsia="de-DE"/>
        </w:rPr>
        <w:t>6 und Polypropylen</w:t>
      </w:r>
      <w:r w:rsidR="00E34711">
        <w:rPr>
          <w:rFonts w:cs="Arial"/>
          <w:color w:val="auto"/>
          <w:lang w:eastAsia="de-DE"/>
        </w:rPr>
        <w:t xml:space="preserve">-Rezyklaten, die </w:t>
      </w:r>
      <w:r w:rsidR="00E34711" w:rsidRPr="00E34711">
        <w:rPr>
          <w:rFonts w:cs="Arial"/>
          <w:bCs/>
          <w:color w:val="auto"/>
          <w:lang w:eastAsia="de-DE"/>
        </w:rPr>
        <w:t xml:space="preserve">kohlefaserverstärkt und zusätzlich </w:t>
      </w:r>
      <w:proofErr w:type="spellStart"/>
      <w:r w:rsidR="00E34711">
        <w:rPr>
          <w:rFonts w:cs="Arial"/>
          <w:bCs/>
          <w:color w:val="auto"/>
          <w:lang w:eastAsia="de-DE"/>
        </w:rPr>
        <w:t>ruß</w:t>
      </w:r>
      <w:r w:rsidR="00E34711" w:rsidRPr="00E34711">
        <w:rPr>
          <w:rFonts w:cs="Arial"/>
          <w:bCs/>
          <w:color w:val="auto"/>
          <w:lang w:eastAsia="de-DE"/>
        </w:rPr>
        <w:t>gefüllt</w:t>
      </w:r>
      <w:proofErr w:type="spellEnd"/>
      <w:r w:rsidR="00E34711" w:rsidRPr="00E34711">
        <w:rPr>
          <w:rFonts w:cs="Arial"/>
          <w:bCs/>
          <w:color w:val="auto"/>
          <w:lang w:eastAsia="de-DE"/>
        </w:rPr>
        <w:t xml:space="preserve"> </w:t>
      </w:r>
      <w:r w:rsidR="00486F12">
        <w:rPr>
          <w:rFonts w:cs="Arial"/>
          <w:color w:val="auto"/>
          <w:lang w:eastAsia="de-DE"/>
        </w:rPr>
        <w:t>sind</w:t>
      </w:r>
      <w:r w:rsidR="00486F12" w:rsidRPr="00486F12">
        <w:rPr>
          <w:rFonts w:cs="Arial"/>
          <w:color w:val="auto"/>
          <w:lang w:eastAsia="de-DE"/>
        </w:rPr>
        <w:t>.</w:t>
      </w:r>
      <w:r w:rsidR="00486F12">
        <w:rPr>
          <w:rFonts w:cs="Arial"/>
          <w:color w:val="auto"/>
          <w:lang w:eastAsia="de-DE"/>
        </w:rPr>
        <w:t xml:space="preserve"> </w:t>
      </w:r>
      <w:r w:rsidR="00E34711">
        <w:rPr>
          <w:rFonts w:cs="Arial"/>
          <w:color w:val="auto"/>
          <w:lang w:eastAsia="de-DE"/>
        </w:rPr>
        <w:t xml:space="preserve">Damit </w:t>
      </w:r>
      <w:r w:rsidR="00486F12">
        <w:rPr>
          <w:rFonts w:cs="Arial"/>
          <w:bCs/>
          <w:color w:val="auto"/>
          <w:lang w:eastAsia="de-DE"/>
        </w:rPr>
        <w:t xml:space="preserve">erfüllen </w:t>
      </w:r>
      <w:r w:rsidR="00E34711">
        <w:rPr>
          <w:rFonts w:cs="Arial"/>
          <w:bCs/>
          <w:color w:val="auto"/>
          <w:lang w:eastAsia="de-DE"/>
        </w:rPr>
        <w:t xml:space="preserve">sie </w:t>
      </w:r>
      <w:r w:rsidR="00486F12">
        <w:rPr>
          <w:rFonts w:cs="Arial"/>
          <w:bCs/>
          <w:color w:val="auto"/>
          <w:lang w:eastAsia="de-DE"/>
        </w:rPr>
        <w:t xml:space="preserve">anspruchsvolle Anforderungen </w:t>
      </w:r>
      <w:r w:rsidR="00E34711">
        <w:rPr>
          <w:rFonts w:cs="Arial"/>
          <w:bCs/>
          <w:color w:val="auto"/>
          <w:lang w:eastAsia="de-DE"/>
        </w:rPr>
        <w:t xml:space="preserve">hinsichtlich der </w:t>
      </w:r>
      <w:r w:rsidRPr="00D82721">
        <w:rPr>
          <w:rFonts w:cs="Arial"/>
          <w:color w:val="auto"/>
          <w:lang w:eastAsia="de-DE"/>
        </w:rPr>
        <w:t>Abschirmung</w:t>
      </w:r>
      <w:r w:rsidR="0027684A" w:rsidRPr="0027684A">
        <w:rPr>
          <w:rFonts w:cs="Arial"/>
          <w:color w:val="auto"/>
          <w:lang w:eastAsia="de-DE"/>
        </w:rPr>
        <w:t xml:space="preserve"> </w:t>
      </w:r>
      <w:r w:rsidR="0027684A">
        <w:rPr>
          <w:rFonts w:cs="Arial"/>
          <w:color w:val="auto"/>
          <w:lang w:eastAsia="de-DE"/>
        </w:rPr>
        <w:t>gegen elektromagnetische Wellen</w:t>
      </w:r>
      <w:r w:rsidR="00486F12">
        <w:rPr>
          <w:rFonts w:cs="Arial"/>
          <w:color w:val="auto"/>
          <w:lang w:eastAsia="de-DE"/>
        </w:rPr>
        <w:t>,</w:t>
      </w:r>
      <w:r w:rsidR="0027684A">
        <w:rPr>
          <w:rFonts w:cs="Arial"/>
          <w:color w:val="auto"/>
          <w:lang w:eastAsia="de-DE"/>
        </w:rPr>
        <w:t xml:space="preserve"> </w:t>
      </w:r>
      <w:r w:rsidR="0015557C">
        <w:rPr>
          <w:rFonts w:cs="Arial"/>
          <w:color w:val="auto"/>
          <w:lang w:eastAsia="de-DE"/>
        </w:rPr>
        <w:t xml:space="preserve">die </w:t>
      </w:r>
      <w:r w:rsidR="0027684A">
        <w:rPr>
          <w:rFonts w:cs="Arial"/>
          <w:color w:val="auto"/>
          <w:lang w:eastAsia="de-DE"/>
        </w:rPr>
        <w:t xml:space="preserve">für eine Vielzahl von Komponenten in den </w:t>
      </w:r>
      <w:r w:rsidR="0015557C">
        <w:rPr>
          <w:rFonts w:cs="Arial"/>
          <w:color w:val="auto"/>
          <w:lang w:eastAsia="de-DE"/>
        </w:rPr>
        <w:t>B</w:t>
      </w:r>
      <w:r w:rsidR="0027684A">
        <w:rPr>
          <w:rFonts w:cs="Arial"/>
          <w:color w:val="auto"/>
          <w:lang w:eastAsia="de-DE"/>
        </w:rPr>
        <w:t xml:space="preserve">ereichen </w:t>
      </w:r>
      <w:r w:rsidRPr="00D82721">
        <w:rPr>
          <w:rFonts w:cs="Arial"/>
          <w:bCs/>
          <w:color w:val="auto"/>
          <w:lang w:eastAsia="de-DE"/>
        </w:rPr>
        <w:t>Automobil</w:t>
      </w:r>
      <w:r w:rsidR="0027684A">
        <w:rPr>
          <w:rFonts w:cs="Arial"/>
          <w:bCs/>
          <w:color w:val="auto"/>
          <w:lang w:eastAsia="de-DE"/>
        </w:rPr>
        <w:t xml:space="preserve"> </w:t>
      </w:r>
      <w:r w:rsidRPr="00D82721">
        <w:rPr>
          <w:rFonts w:cs="Arial"/>
          <w:bCs/>
          <w:color w:val="auto"/>
          <w:lang w:eastAsia="de-DE"/>
        </w:rPr>
        <w:t>und E-Mobilität</w:t>
      </w:r>
      <w:r w:rsidR="00486F12">
        <w:rPr>
          <w:rFonts w:cs="Arial"/>
          <w:bCs/>
          <w:color w:val="auto"/>
          <w:lang w:eastAsia="de-DE"/>
        </w:rPr>
        <w:t xml:space="preserve"> gelten</w:t>
      </w:r>
      <w:r>
        <w:rPr>
          <w:rFonts w:cs="Arial"/>
          <w:bCs/>
          <w:color w:val="auto"/>
          <w:lang w:eastAsia="de-DE"/>
        </w:rPr>
        <w:t>.</w:t>
      </w:r>
      <w:r>
        <w:rPr>
          <w:rFonts w:cs="Arial"/>
          <w:color w:val="auto"/>
          <w:lang w:eastAsia="de-DE"/>
        </w:rPr>
        <w:t xml:space="preserve"> </w:t>
      </w:r>
      <w:r w:rsidR="0015557C">
        <w:rPr>
          <w:rFonts w:cs="Arial"/>
          <w:color w:val="auto"/>
          <w:lang w:eastAsia="de-DE"/>
        </w:rPr>
        <w:t>J</w:t>
      </w:r>
      <w:r w:rsidR="0015557C" w:rsidRPr="0015557C">
        <w:rPr>
          <w:rFonts w:cs="Arial"/>
          <w:color w:val="auto"/>
          <w:lang w:eastAsia="de-DE"/>
        </w:rPr>
        <w:t xml:space="preserve">e nach </w:t>
      </w:r>
      <w:r w:rsidR="0015557C">
        <w:rPr>
          <w:rFonts w:cs="Arial"/>
          <w:color w:val="auto"/>
          <w:lang w:eastAsia="de-DE"/>
        </w:rPr>
        <w:t xml:space="preserve">Typ erreichen sie </w:t>
      </w:r>
      <w:r w:rsidR="0015557C" w:rsidRPr="0015557C">
        <w:rPr>
          <w:rFonts w:cs="Arial"/>
          <w:color w:val="auto"/>
          <w:lang w:eastAsia="de-DE"/>
        </w:rPr>
        <w:t xml:space="preserve">EMV-Abschirmungen </w:t>
      </w:r>
      <w:r w:rsidR="0015557C">
        <w:rPr>
          <w:rFonts w:cs="Arial"/>
          <w:color w:val="auto"/>
          <w:lang w:eastAsia="de-DE"/>
        </w:rPr>
        <w:t xml:space="preserve">von </w:t>
      </w:r>
      <w:r w:rsidR="0015557C" w:rsidRPr="0015557C">
        <w:rPr>
          <w:rFonts w:cs="Arial"/>
          <w:color w:val="auto"/>
          <w:lang w:eastAsia="de-DE"/>
        </w:rPr>
        <w:t>bis zu 55 dB bei Frequenzen von 30 MHz bis 1,5 GHz und darüber hinaus.</w:t>
      </w:r>
    </w:p>
    <w:p w14:paraId="71AF30FC" w14:textId="77777777" w:rsidR="00DC1A92" w:rsidRPr="00876616" w:rsidRDefault="00DC1A92" w:rsidP="00876616">
      <w:pPr>
        <w:spacing w:before="120" w:line="340" w:lineRule="exact"/>
        <w:rPr>
          <w:rFonts w:cs="Arial"/>
          <w:b/>
          <w:color w:val="auto"/>
          <w:lang w:eastAsia="de-DE"/>
        </w:rPr>
      </w:pPr>
      <w:r w:rsidRPr="00876616">
        <w:rPr>
          <w:rFonts w:cs="Arial"/>
          <w:b/>
          <w:color w:val="auto"/>
          <w:lang w:eastAsia="de-DE"/>
        </w:rPr>
        <w:t>Kriechstromfestigkeit</w:t>
      </w:r>
    </w:p>
    <w:p w14:paraId="34981BA8" w14:textId="488CC6AD" w:rsidR="00876616" w:rsidRPr="00935ED0" w:rsidRDefault="00876616" w:rsidP="00876616">
      <w:pPr>
        <w:spacing w:before="120" w:line="340" w:lineRule="exact"/>
        <w:rPr>
          <w:rFonts w:cs="Arial"/>
          <w:bCs/>
          <w:color w:val="auto"/>
          <w:lang w:eastAsia="de-DE"/>
        </w:rPr>
      </w:pPr>
      <w:r w:rsidRPr="00935ED0">
        <w:rPr>
          <w:rFonts w:cs="Arial"/>
          <w:bCs/>
          <w:color w:val="auto"/>
          <w:lang w:eastAsia="de-DE"/>
        </w:rPr>
        <w:t xml:space="preserve">Das neu entwickelte </w:t>
      </w:r>
      <w:proofErr w:type="spellStart"/>
      <w:r w:rsidRPr="00935ED0">
        <w:rPr>
          <w:rFonts w:cs="Arial"/>
          <w:bCs/>
          <w:color w:val="auto"/>
          <w:lang w:eastAsia="de-DE"/>
        </w:rPr>
        <w:t>TechnoMid</w:t>
      </w:r>
      <w:proofErr w:type="spellEnd"/>
      <w:r w:rsidRPr="00935ED0">
        <w:rPr>
          <w:rFonts w:cs="Arial"/>
          <w:bCs/>
          <w:color w:val="auto"/>
          <w:lang w:eastAsia="de-DE"/>
        </w:rPr>
        <w:t xml:space="preserve"> GF 30 2 MH H (K052500059) ist ein moderner, speziell für die Elektromobilität entwickelter elektrisch isolierender Compound mit 75 % </w:t>
      </w:r>
      <w:proofErr w:type="spellStart"/>
      <w:r w:rsidRPr="00935ED0">
        <w:rPr>
          <w:rFonts w:cs="Arial"/>
          <w:bCs/>
          <w:color w:val="auto"/>
          <w:lang w:eastAsia="de-DE"/>
        </w:rPr>
        <w:t>Rezyklatanteil</w:t>
      </w:r>
      <w:proofErr w:type="spellEnd"/>
      <w:r w:rsidRPr="00935ED0">
        <w:rPr>
          <w:rFonts w:cs="Arial"/>
          <w:bCs/>
          <w:color w:val="auto"/>
          <w:lang w:eastAsia="de-DE"/>
        </w:rPr>
        <w:t xml:space="preserve"> in der PA-Matrix. Mit einem CTI-Wert von 600 V bietet es eine der höchsten Kriechstromfestigkeiten (Gruppe 1) aller elektrisch isolierenden Thermoplaste. Die Verstärkung mit 30 </w:t>
      </w:r>
      <w:proofErr w:type="spellStart"/>
      <w:r w:rsidRPr="00935ED0">
        <w:rPr>
          <w:rFonts w:cs="Arial"/>
          <w:bCs/>
          <w:color w:val="auto"/>
          <w:lang w:eastAsia="de-DE"/>
        </w:rPr>
        <w:t>Gew</w:t>
      </w:r>
      <w:proofErr w:type="spellEnd"/>
      <w:r w:rsidRPr="00935ED0">
        <w:rPr>
          <w:rFonts w:cs="Arial"/>
          <w:bCs/>
          <w:color w:val="auto"/>
          <w:lang w:eastAsia="de-DE"/>
        </w:rPr>
        <w:t>.-% Kurzglasfasern sorgt zusätzlich für eine hohe Dimensionsstabilität und sehr gute mechanische Eigenschaften. Die Hitzestabilisierung bewirkt eine hohe Beständigkeit gegen Wärmealterung und ermöglicht Dauergebrauchstemperaturen von bis zu 150</w:t>
      </w:r>
      <w:r w:rsidR="00935ED0">
        <w:rPr>
          <w:rFonts w:cs="Arial"/>
          <w:bCs/>
          <w:color w:val="auto"/>
          <w:lang w:eastAsia="de-DE"/>
        </w:rPr>
        <w:t> </w:t>
      </w:r>
      <w:r w:rsidRPr="00935ED0">
        <w:rPr>
          <w:rFonts w:cs="Arial"/>
          <w:bCs/>
          <w:color w:val="auto"/>
          <w:lang w:eastAsia="de-DE"/>
        </w:rPr>
        <w:t>°C. Hinzu kommt die für PA6 typische gute Beständigkeit gegen Öle, Fette und Lösemittel.</w:t>
      </w:r>
    </w:p>
    <w:p w14:paraId="40CBF9DA" w14:textId="7A0EDFEA" w:rsidR="00876616" w:rsidRDefault="00876616" w:rsidP="00876616">
      <w:pPr>
        <w:spacing w:before="100" w:beforeAutospacing="1" w:after="100" w:afterAutospacing="1" w:line="240" w:lineRule="auto"/>
        <w:rPr>
          <w:rFonts w:cs="Arial"/>
          <w:i/>
          <w:color w:val="auto"/>
          <w:sz w:val="20"/>
          <w:szCs w:val="20"/>
          <w:lang w:eastAsia="de-DE"/>
        </w:rPr>
      </w:pPr>
      <w:r>
        <w:rPr>
          <w:rFonts w:cs="Arial"/>
          <w:i/>
          <w:noProof/>
          <w:color w:val="auto"/>
          <w:sz w:val="20"/>
          <w:szCs w:val="20"/>
          <w:lang w:eastAsia="de-DE"/>
        </w:rPr>
        <w:lastRenderedPageBreak/>
        <w:drawing>
          <wp:inline distT="0" distB="0" distL="0" distR="0" wp14:anchorId="27B0FF88" wp14:editId="0BEA56CF">
            <wp:extent cx="3939702" cy="2396247"/>
            <wp:effectExtent l="0" t="0" r="3810" b="4445"/>
            <wp:docPr id="646185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8509" name="Grafik 646185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55991" cy="2406155"/>
                    </a:xfrm>
                    <a:prstGeom prst="rect">
                      <a:avLst/>
                    </a:prstGeom>
                  </pic:spPr>
                </pic:pic>
              </a:graphicData>
            </a:graphic>
          </wp:inline>
        </w:drawing>
      </w:r>
    </w:p>
    <w:p w14:paraId="6B0ED2B9" w14:textId="0851119E" w:rsidR="00876616" w:rsidRPr="00876616" w:rsidRDefault="00876616" w:rsidP="00876616">
      <w:pPr>
        <w:spacing w:before="100" w:beforeAutospacing="1" w:after="100" w:afterAutospacing="1" w:line="240" w:lineRule="auto"/>
        <w:rPr>
          <w:rFonts w:cs="Arial"/>
          <w:i/>
          <w:color w:val="auto"/>
          <w:sz w:val="20"/>
          <w:szCs w:val="20"/>
          <w:lang w:eastAsia="de-DE"/>
        </w:rPr>
      </w:pPr>
      <w:r w:rsidRPr="00876616">
        <w:rPr>
          <w:rFonts w:cs="Arial"/>
          <w:i/>
          <w:color w:val="auto"/>
          <w:sz w:val="20"/>
          <w:szCs w:val="20"/>
          <w:lang w:eastAsia="de-DE"/>
        </w:rPr>
        <w:t xml:space="preserve">Relaisbox mit Gehäuse aus elektrisch isolierendem </w:t>
      </w:r>
      <w:proofErr w:type="spellStart"/>
      <w:r w:rsidRPr="00876616">
        <w:rPr>
          <w:rFonts w:cs="Arial"/>
          <w:i/>
          <w:color w:val="auto"/>
          <w:sz w:val="20"/>
          <w:szCs w:val="20"/>
          <w:lang w:eastAsia="de-DE"/>
        </w:rPr>
        <w:t>TechnoMid</w:t>
      </w:r>
      <w:proofErr w:type="spellEnd"/>
      <w:r w:rsidR="00935ED0">
        <w:rPr>
          <w:rFonts w:cs="Arial"/>
          <w:i/>
          <w:color w:val="auto"/>
          <w:sz w:val="20"/>
          <w:szCs w:val="20"/>
          <w:lang w:eastAsia="de-DE"/>
        </w:rPr>
        <w:t xml:space="preserve"> © TechnoCompound</w:t>
      </w:r>
    </w:p>
    <w:p w14:paraId="4E5C3C84" w14:textId="415C0F46" w:rsidR="000471E8" w:rsidRPr="00876616" w:rsidRDefault="000471E8" w:rsidP="00876616">
      <w:pPr>
        <w:spacing w:before="120" w:line="340" w:lineRule="exact"/>
        <w:rPr>
          <w:rFonts w:cs="Arial"/>
          <w:b/>
          <w:color w:val="auto"/>
          <w:lang w:eastAsia="de-DE"/>
        </w:rPr>
      </w:pPr>
      <w:r w:rsidRPr="00876616">
        <w:rPr>
          <w:rFonts w:cs="Arial"/>
          <w:b/>
          <w:color w:val="auto"/>
          <w:lang w:eastAsia="de-DE"/>
        </w:rPr>
        <w:t>Flammwidrigkeit</w:t>
      </w:r>
    </w:p>
    <w:p w14:paraId="22454932" w14:textId="386FD86B" w:rsidR="000471E8" w:rsidRDefault="000471E8" w:rsidP="00876616">
      <w:pPr>
        <w:spacing w:before="120" w:line="340" w:lineRule="exact"/>
        <w:rPr>
          <w:rFonts w:cs="Arial"/>
          <w:color w:val="auto"/>
          <w:lang w:eastAsia="de-DE"/>
        </w:rPr>
      </w:pPr>
      <w:proofErr w:type="spellStart"/>
      <w:r w:rsidRPr="000471E8">
        <w:rPr>
          <w:rFonts w:cs="Arial"/>
          <w:color w:val="auto"/>
          <w:lang w:eastAsia="de-DE"/>
        </w:rPr>
        <w:t>TechnoDur</w:t>
      </w:r>
      <w:proofErr w:type="spellEnd"/>
      <w:r w:rsidRPr="00A972D0">
        <w:rPr>
          <w:rFonts w:cs="Arial"/>
          <w:color w:val="auto"/>
          <w:lang w:eastAsia="de-DE"/>
        </w:rPr>
        <w:t xml:space="preserve"> </w:t>
      </w:r>
      <w:r w:rsidRPr="000471E8">
        <w:rPr>
          <w:rFonts w:cs="Arial"/>
          <w:color w:val="auto"/>
          <w:lang w:eastAsia="de-DE"/>
        </w:rPr>
        <w:t>PBT GF 7 1 HFFR V0 (502339)</w:t>
      </w:r>
      <w:r>
        <w:rPr>
          <w:rFonts w:cs="Arial"/>
          <w:color w:val="auto"/>
          <w:lang w:eastAsia="de-DE"/>
        </w:rPr>
        <w:t xml:space="preserve"> ist ein neues </w:t>
      </w:r>
      <w:r w:rsidRPr="000471E8">
        <w:rPr>
          <w:rFonts w:cs="Arial"/>
          <w:color w:val="auto"/>
          <w:lang w:eastAsia="de-DE"/>
        </w:rPr>
        <w:t>Polybutylenterephthalat</w:t>
      </w:r>
      <w:r>
        <w:rPr>
          <w:rFonts w:cs="Arial"/>
          <w:color w:val="auto"/>
          <w:lang w:eastAsia="de-DE"/>
        </w:rPr>
        <w:t>-Compound mit 7 </w:t>
      </w:r>
      <w:proofErr w:type="spellStart"/>
      <w:r>
        <w:rPr>
          <w:rFonts w:cs="Arial"/>
          <w:color w:val="auto"/>
          <w:lang w:eastAsia="de-DE"/>
        </w:rPr>
        <w:t>Gew</w:t>
      </w:r>
      <w:proofErr w:type="spellEnd"/>
      <w:r>
        <w:rPr>
          <w:rFonts w:cs="Arial"/>
          <w:color w:val="auto"/>
          <w:lang w:eastAsia="de-DE"/>
        </w:rPr>
        <w:t xml:space="preserve">.-% Kurzglasfasern und halogenfreiem Flammschutz. Es erfüllt die besonders strengen Anforderungen an die Entflammbarkeit entsprechend der Klasse </w:t>
      </w:r>
      <w:r w:rsidRPr="000471E8">
        <w:rPr>
          <w:rFonts w:cs="Arial"/>
          <w:color w:val="auto"/>
          <w:lang w:eastAsia="de-DE"/>
        </w:rPr>
        <w:t xml:space="preserve">V-0 </w:t>
      </w:r>
      <w:r>
        <w:rPr>
          <w:rFonts w:cs="Arial"/>
          <w:color w:val="auto"/>
          <w:lang w:eastAsia="de-DE"/>
        </w:rPr>
        <w:t xml:space="preserve">nach </w:t>
      </w:r>
      <w:r w:rsidR="00A972D0" w:rsidRPr="000471E8">
        <w:rPr>
          <w:rFonts w:cs="Arial"/>
          <w:color w:val="auto"/>
          <w:lang w:eastAsia="de-DE"/>
        </w:rPr>
        <w:t>UL94</w:t>
      </w:r>
      <w:r>
        <w:rPr>
          <w:rFonts w:cs="Arial"/>
          <w:color w:val="auto"/>
          <w:lang w:eastAsia="de-DE"/>
        </w:rPr>
        <w:t xml:space="preserve"> bei 0,4 mm. Dank seines sehr geringen Faseranteils </w:t>
      </w:r>
      <w:r w:rsidR="000259DC">
        <w:rPr>
          <w:rFonts w:cs="Arial"/>
          <w:color w:val="auto"/>
          <w:lang w:eastAsia="de-DE"/>
        </w:rPr>
        <w:t xml:space="preserve">bietet es </w:t>
      </w:r>
      <w:r w:rsidR="00E13704">
        <w:rPr>
          <w:rFonts w:cs="Arial"/>
          <w:color w:val="auto"/>
          <w:lang w:eastAsia="de-DE"/>
        </w:rPr>
        <w:t xml:space="preserve">außerdem </w:t>
      </w:r>
      <w:r w:rsidR="000259DC">
        <w:rPr>
          <w:rFonts w:cs="Arial"/>
          <w:color w:val="auto"/>
          <w:lang w:eastAsia="de-DE"/>
        </w:rPr>
        <w:t>eine hohe Fließfähigkeit der Schmelze und eignet sich daher für dünnwandige Formteile, auch bei langen Fließwegen</w:t>
      </w:r>
      <w:r w:rsidR="00C32956">
        <w:rPr>
          <w:rFonts w:cs="Arial"/>
          <w:color w:val="auto"/>
          <w:lang w:eastAsia="de-DE"/>
        </w:rPr>
        <w:t>.</w:t>
      </w:r>
    </w:p>
    <w:p w14:paraId="065DA5A2" w14:textId="77777777" w:rsidR="00876616" w:rsidRDefault="00876616" w:rsidP="00876616">
      <w:pPr>
        <w:spacing w:before="100" w:beforeAutospacing="1" w:after="100" w:afterAutospacing="1" w:line="240" w:lineRule="auto"/>
        <w:rPr>
          <w:rFonts w:cs="Arial"/>
          <w:color w:val="auto"/>
          <w:lang w:eastAsia="de-DE"/>
        </w:rPr>
      </w:pPr>
      <w:r>
        <w:rPr>
          <w:rFonts w:cs="Arial"/>
          <w:noProof/>
          <w:color w:val="auto"/>
          <w:lang w:eastAsia="de-DE"/>
        </w:rPr>
        <w:drawing>
          <wp:inline distT="0" distB="0" distL="0" distR="0" wp14:anchorId="30079DB1" wp14:editId="2F395CDA">
            <wp:extent cx="5400675" cy="1504315"/>
            <wp:effectExtent l="0" t="0" r="9525" b="635"/>
            <wp:docPr id="354381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8191" name="Grafik 354381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675" cy="1504315"/>
                    </a:xfrm>
                    <a:prstGeom prst="rect">
                      <a:avLst/>
                    </a:prstGeom>
                  </pic:spPr>
                </pic:pic>
              </a:graphicData>
            </a:graphic>
          </wp:inline>
        </w:drawing>
      </w:r>
    </w:p>
    <w:p w14:paraId="51A7DE4A" w14:textId="77777777" w:rsidR="00876616" w:rsidRPr="00C32956" w:rsidRDefault="00876616" w:rsidP="00876616">
      <w:pPr>
        <w:spacing w:before="100" w:beforeAutospacing="1" w:after="100" w:afterAutospacing="1" w:line="240" w:lineRule="auto"/>
        <w:rPr>
          <w:rFonts w:cs="Arial"/>
          <w:i/>
          <w:color w:val="auto"/>
          <w:sz w:val="20"/>
          <w:szCs w:val="20"/>
          <w:lang w:eastAsia="de-DE"/>
        </w:rPr>
      </w:pPr>
      <w:proofErr w:type="spellStart"/>
      <w:r w:rsidRPr="00C32956">
        <w:rPr>
          <w:rFonts w:cs="Arial"/>
          <w:i/>
          <w:color w:val="auto"/>
          <w:sz w:val="20"/>
          <w:szCs w:val="20"/>
          <w:lang w:eastAsia="de-DE"/>
        </w:rPr>
        <w:t>TechnoDur</w:t>
      </w:r>
      <w:proofErr w:type="spellEnd"/>
      <w:r w:rsidRPr="00C32956">
        <w:rPr>
          <w:rFonts w:cs="Arial"/>
          <w:i/>
          <w:color w:val="auto"/>
          <w:sz w:val="20"/>
          <w:szCs w:val="20"/>
          <w:lang w:eastAsia="de-DE"/>
        </w:rPr>
        <w:t xml:space="preserve"> PBT GF 7 1 HFFR V0 erfüllt die Voraussetzungen, um das Werkzeug für diese Trägerstruktur für automatische Schiebetüren </w:t>
      </w:r>
      <w:r>
        <w:rPr>
          <w:rFonts w:cs="Arial"/>
          <w:i/>
          <w:color w:val="auto"/>
          <w:sz w:val="20"/>
          <w:szCs w:val="20"/>
          <w:lang w:eastAsia="de-DE"/>
        </w:rPr>
        <w:t>t</w:t>
      </w:r>
      <w:r w:rsidRPr="00C32956">
        <w:rPr>
          <w:rFonts w:cs="Arial"/>
          <w:i/>
          <w:color w:val="auto"/>
          <w:sz w:val="20"/>
          <w:szCs w:val="20"/>
          <w:lang w:eastAsia="de-DE"/>
        </w:rPr>
        <w:t>rotz der lange</w:t>
      </w:r>
      <w:r>
        <w:rPr>
          <w:rFonts w:cs="Arial"/>
          <w:i/>
          <w:color w:val="auto"/>
          <w:sz w:val="20"/>
          <w:szCs w:val="20"/>
          <w:lang w:eastAsia="de-DE"/>
        </w:rPr>
        <w:t>n</w:t>
      </w:r>
      <w:r w:rsidRPr="00C32956">
        <w:rPr>
          <w:rFonts w:cs="Arial"/>
          <w:i/>
          <w:color w:val="auto"/>
          <w:sz w:val="20"/>
          <w:szCs w:val="20"/>
          <w:lang w:eastAsia="de-DE"/>
        </w:rPr>
        <w:t xml:space="preserve"> Fließwege zu füllen und gleichzeitig </w:t>
      </w:r>
      <w:r>
        <w:rPr>
          <w:rFonts w:cs="Arial"/>
          <w:i/>
          <w:color w:val="auto"/>
          <w:sz w:val="20"/>
          <w:szCs w:val="20"/>
          <w:lang w:eastAsia="de-DE"/>
        </w:rPr>
        <w:t>der</w:t>
      </w:r>
      <w:r w:rsidRPr="00C32956">
        <w:rPr>
          <w:rFonts w:cs="Arial"/>
          <w:i/>
          <w:color w:val="auto"/>
          <w:sz w:val="20"/>
          <w:szCs w:val="20"/>
          <w:lang w:eastAsia="de-DE"/>
        </w:rPr>
        <w:t xml:space="preserve"> Forderungen nach Flammwidrigkeit und Steifigkeit zu </w:t>
      </w:r>
      <w:r>
        <w:rPr>
          <w:rFonts w:cs="Arial"/>
          <w:i/>
          <w:color w:val="auto"/>
          <w:sz w:val="20"/>
          <w:szCs w:val="20"/>
          <w:lang w:eastAsia="de-DE"/>
        </w:rPr>
        <w:t>entsprechen</w:t>
      </w:r>
      <w:r w:rsidRPr="00C32956">
        <w:rPr>
          <w:rFonts w:cs="Arial"/>
          <w:i/>
          <w:color w:val="auto"/>
          <w:sz w:val="20"/>
          <w:szCs w:val="20"/>
          <w:lang w:eastAsia="de-DE"/>
        </w:rPr>
        <w:t xml:space="preserve">. </w:t>
      </w:r>
      <w:r>
        <w:rPr>
          <w:rFonts w:cs="Arial"/>
          <w:i/>
          <w:color w:val="auto"/>
          <w:sz w:val="20"/>
          <w:szCs w:val="20"/>
          <w:lang w:eastAsia="de-DE"/>
        </w:rPr>
        <w:br/>
        <w:t>© TechnoCompound</w:t>
      </w:r>
    </w:p>
    <w:p w14:paraId="4ED04F8F" w14:textId="38C39D2D" w:rsidR="000259DC" w:rsidRPr="00876616" w:rsidRDefault="00856C7D" w:rsidP="00876616">
      <w:pPr>
        <w:spacing w:before="120" w:line="340" w:lineRule="exact"/>
        <w:rPr>
          <w:rFonts w:cs="Arial"/>
          <w:b/>
          <w:color w:val="auto"/>
          <w:lang w:eastAsia="de-DE"/>
        </w:rPr>
      </w:pPr>
      <w:r w:rsidRPr="00876616">
        <w:rPr>
          <w:rFonts w:cs="Arial"/>
          <w:b/>
          <w:color w:val="auto"/>
          <w:lang w:eastAsia="de-DE"/>
        </w:rPr>
        <w:t>Weitere Neu- und Weiterentwicklungen</w:t>
      </w:r>
    </w:p>
    <w:p w14:paraId="1D8A2C0B" w14:textId="7DA9A7E6" w:rsidR="007B4BD5" w:rsidRPr="000259DC" w:rsidRDefault="002000E8" w:rsidP="00876616">
      <w:pPr>
        <w:spacing w:before="120" w:line="340" w:lineRule="exact"/>
        <w:rPr>
          <w:rFonts w:cs="Arial"/>
          <w:color w:val="auto"/>
          <w:lang w:eastAsia="de-DE"/>
        </w:rPr>
      </w:pPr>
      <w:r>
        <w:rPr>
          <w:rFonts w:cs="Arial"/>
          <w:color w:val="auto"/>
          <w:lang w:eastAsia="de-DE"/>
        </w:rPr>
        <w:t>Über die genannten Highlights hinaus</w:t>
      </w:r>
      <w:r w:rsidR="007B4BD5">
        <w:rPr>
          <w:rFonts w:cs="Arial"/>
          <w:color w:val="auto"/>
          <w:lang w:eastAsia="de-DE"/>
        </w:rPr>
        <w:t xml:space="preserve"> präsentiert TechnoCompound auf der Fakuma 2026 ein ganzes Bündel weiterer </w:t>
      </w:r>
      <w:r w:rsidR="007B4BD5" w:rsidRPr="00FB2BB9">
        <w:rPr>
          <w:rFonts w:cs="Arial"/>
          <w:color w:val="auto"/>
          <w:lang w:eastAsia="de-DE"/>
        </w:rPr>
        <w:t>werkstofflicher Innovationen</w:t>
      </w:r>
      <w:r>
        <w:rPr>
          <w:rFonts w:cs="Arial"/>
          <w:color w:val="auto"/>
          <w:lang w:eastAsia="de-DE"/>
        </w:rPr>
        <w:t xml:space="preserve"> </w:t>
      </w:r>
      <w:r w:rsidR="007B4BD5">
        <w:rPr>
          <w:rFonts w:cs="Arial"/>
          <w:color w:val="auto"/>
          <w:lang w:eastAsia="de-DE"/>
        </w:rPr>
        <w:t xml:space="preserve">rund um den Themenkreis Nachhaltigkeit und </w:t>
      </w:r>
      <w:proofErr w:type="spellStart"/>
      <w:r w:rsidR="007B4BD5">
        <w:rPr>
          <w:rFonts w:cs="Arial"/>
          <w:color w:val="auto"/>
          <w:lang w:eastAsia="de-DE"/>
        </w:rPr>
        <w:t>Rezyklateinsatz</w:t>
      </w:r>
      <w:proofErr w:type="spellEnd"/>
      <w:r w:rsidR="007B4BD5">
        <w:rPr>
          <w:rFonts w:cs="Arial"/>
          <w:color w:val="auto"/>
          <w:lang w:eastAsia="de-DE"/>
        </w:rPr>
        <w:t xml:space="preserve">. Dazu gehören </w:t>
      </w:r>
      <w:proofErr w:type="spellStart"/>
      <w:r w:rsidR="007B4BD5">
        <w:rPr>
          <w:rFonts w:cs="Arial"/>
          <w:color w:val="auto"/>
          <w:lang w:eastAsia="de-DE"/>
        </w:rPr>
        <w:t>Closed</w:t>
      </w:r>
      <w:proofErr w:type="spellEnd"/>
      <w:r w:rsidR="007B4BD5">
        <w:rPr>
          <w:rFonts w:cs="Arial"/>
          <w:color w:val="auto"/>
          <w:lang w:eastAsia="de-DE"/>
        </w:rPr>
        <w:t xml:space="preserve">-Loop-Lösungen für den Kunststoffkreislauf im Rahmen der Altfahrzeugverordnung </w:t>
      </w:r>
      <w:r>
        <w:rPr>
          <w:rFonts w:cs="Arial"/>
          <w:color w:val="auto"/>
          <w:lang w:eastAsia="de-DE"/>
        </w:rPr>
        <w:t>(</w:t>
      </w:r>
      <w:r w:rsidR="007B4BD5">
        <w:rPr>
          <w:rFonts w:cs="Arial"/>
          <w:color w:val="auto"/>
          <w:lang w:eastAsia="de-DE"/>
        </w:rPr>
        <w:t>ELV-R</w:t>
      </w:r>
      <w:r>
        <w:rPr>
          <w:rFonts w:cs="Arial"/>
          <w:color w:val="auto"/>
          <w:lang w:eastAsia="de-DE"/>
        </w:rPr>
        <w:t>)</w:t>
      </w:r>
      <w:r w:rsidR="007B4BD5">
        <w:rPr>
          <w:rFonts w:cs="Arial"/>
          <w:color w:val="auto"/>
          <w:lang w:eastAsia="de-DE"/>
        </w:rPr>
        <w:t xml:space="preserve"> sowie n</w:t>
      </w:r>
      <w:r w:rsidR="007B4BD5" w:rsidRPr="007B4BD5">
        <w:rPr>
          <w:rFonts w:cs="Arial"/>
          <w:color w:val="auto"/>
          <w:lang w:eastAsia="de-DE"/>
        </w:rPr>
        <w:t>achhaltige Verpackungslösungen</w:t>
      </w:r>
      <w:r w:rsidR="007B4BD5">
        <w:rPr>
          <w:rFonts w:cs="Arial"/>
          <w:color w:val="auto"/>
          <w:lang w:eastAsia="de-DE"/>
        </w:rPr>
        <w:t xml:space="preserve"> zur Erfüllung der </w:t>
      </w:r>
      <w:r>
        <w:rPr>
          <w:rFonts w:cs="Arial"/>
          <w:color w:val="auto"/>
          <w:lang w:eastAsia="de-DE"/>
        </w:rPr>
        <w:t>EU-Verpackungsverordnung (</w:t>
      </w:r>
      <w:r w:rsidR="007B4BD5">
        <w:rPr>
          <w:rFonts w:cs="Arial"/>
          <w:color w:val="auto"/>
          <w:lang w:eastAsia="de-DE"/>
        </w:rPr>
        <w:t>PPWR</w:t>
      </w:r>
      <w:r>
        <w:rPr>
          <w:rFonts w:cs="Arial"/>
          <w:color w:val="auto"/>
          <w:lang w:eastAsia="de-DE"/>
        </w:rPr>
        <w:t xml:space="preserve">). Weitere Themen sind die leichtfließenden </w:t>
      </w:r>
      <w:r w:rsidRPr="002000E8">
        <w:rPr>
          <w:rFonts w:cs="Arial"/>
          <w:color w:val="auto"/>
          <w:lang w:eastAsia="de-DE"/>
        </w:rPr>
        <w:t>PA6</w:t>
      </w:r>
      <w:r>
        <w:rPr>
          <w:rFonts w:cs="Arial"/>
          <w:color w:val="auto"/>
          <w:lang w:eastAsia="de-DE"/>
        </w:rPr>
        <w:t>-</w:t>
      </w:r>
      <w:r w:rsidRPr="002000E8">
        <w:rPr>
          <w:rFonts w:cs="Arial"/>
          <w:color w:val="auto"/>
          <w:lang w:eastAsia="de-DE"/>
        </w:rPr>
        <w:t>Easy-Flow</w:t>
      </w:r>
      <w:r>
        <w:rPr>
          <w:rFonts w:cs="Arial"/>
          <w:color w:val="auto"/>
          <w:lang w:eastAsia="de-DE"/>
        </w:rPr>
        <w:t xml:space="preserve">-Typen, beispielsweise für das Spritzgießen von </w:t>
      </w:r>
      <w:r w:rsidRPr="002000E8">
        <w:rPr>
          <w:rFonts w:cs="Arial"/>
          <w:color w:val="auto"/>
          <w:lang w:eastAsia="de-DE"/>
        </w:rPr>
        <w:t>Front-End-Modul</w:t>
      </w:r>
      <w:r>
        <w:rPr>
          <w:rFonts w:cs="Arial"/>
          <w:color w:val="auto"/>
          <w:lang w:eastAsia="de-DE"/>
        </w:rPr>
        <w:t>en, sowie l</w:t>
      </w:r>
      <w:r w:rsidRPr="002000E8">
        <w:rPr>
          <w:rFonts w:cs="Arial"/>
          <w:color w:val="auto"/>
          <w:lang w:eastAsia="de-DE"/>
        </w:rPr>
        <w:t>asermarkierbar</w:t>
      </w:r>
      <w:r>
        <w:rPr>
          <w:rFonts w:cs="Arial"/>
          <w:color w:val="auto"/>
          <w:lang w:eastAsia="de-DE"/>
        </w:rPr>
        <w:t>e</w:t>
      </w:r>
      <w:r w:rsidRPr="002000E8">
        <w:rPr>
          <w:rFonts w:cs="Arial"/>
          <w:color w:val="auto"/>
          <w:lang w:eastAsia="de-DE"/>
        </w:rPr>
        <w:t>, dimensionsstabil</w:t>
      </w:r>
      <w:r>
        <w:rPr>
          <w:rFonts w:cs="Arial"/>
          <w:color w:val="auto"/>
          <w:lang w:eastAsia="de-DE"/>
        </w:rPr>
        <w:t>e</w:t>
      </w:r>
      <w:r w:rsidRPr="002000E8">
        <w:rPr>
          <w:rFonts w:cs="Arial"/>
          <w:color w:val="auto"/>
          <w:lang w:eastAsia="de-DE"/>
        </w:rPr>
        <w:t xml:space="preserve"> PP</w:t>
      </w:r>
      <w:r>
        <w:rPr>
          <w:rFonts w:cs="Arial"/>
          <w:color w:val="auto"/>
          <w:lang w:eastAsia="de-DE"/>
        </w:rPr>
        <w:t xml:space="preserve">-Typen mit </w:t>
      </w:r>
      <w:r w:rsidRPr="002000E8">
        <w:rPr>
          <w:rFonts w:cs="Arial"/>
          <w:color w:val="auto"/>
          <w:lang w:eastAsia="de-DE"/>
        </w:rPr>
        <w:t>gute</w:t>
      </w:r>
      <w:r>
        <w:rPr>
          <w:rFonts w:cs="Arial"/>
          <w:color w:val="auto"/>
          <w:lang w:eastAsia="de-DE"/>
        </w:rPr>
        <w:t>n</w:t>
      </w:r>
      <w:r w:rsidRPr="002000E8">
        <w:rPr>
          <w:rFonts w:cs="Arial"/>
          <w:color w:val="auto"/>
          <w:lang w:eastAsia="de-DE"/>
        </w:rPr>
        <w:t xml:space="preserve"> Kriecheigenschaften</w:t>
      </w:r>
      <w:r>
        <w:rPr>
          <w:rFonts w:cs="Arial"/>
          <w:color w:val="auto"/>
          <w:lang w:eastAsia="de-DE"/>
        </w:rPr>
        <w:t>, n</w:t>
      </w:r>
      <w:r w:rsidRPr="002000E8">
        <w:rPr>
          <w:rFonts w:cs="Arial"/>
          <w:color w:val="auto"/>
          <w:lang w:eastAsia="de-DE"/>
        </w:rPr>
        <w:t>achhaltige PP</w:t>
      </w:r>
      <w:r>
        <w:rPr>
          <w:rFonts w:cs="Arial"/>
          <w:color w:val="auto"/>
          <w:lang w:eastAsia="de-DE"/>
        </w:rPr>
        <w:t>-</w:t>
      </w:r>
      <w:r w:rsidRPr="002000E8">
        <w:rPr>
          <w:rFonts w:cs="Arial"/>
          <w:color w:val="auto"/>
          <w:lang w:eastAsia="de-DE"/>
        </w:rPr>
        <w:t>LGF</w:t>
      </w:r>
      <w:r>
        <w:rPr>
          <w:rFonts w:cs="Arial"/>
          <w:color w:val="auto"/>
          <w:lang w:eastAsia="de-DE"/>
        </w:rPr>
        <w:t xml:space="preserve">-Typen </w:t>
      </w:r>
      <w:r w:rsidRPr="002000E8">
        <w:rPr>
          <w:rFonts w:cs="Arial"/>
          <w:color w:val="auto"/>
          <w:lang w:eastAsia="de-DE"/>
        </w:rPr>
        <w:t xml:space="preserve">für </w:t>
      </w:r>
      <w:r>
        <w:rPr>
          <w:rFonts w:cs="Arial"/>
          <w:color w:val="auto"/>
          <w:lang w:eastAsia="de-DE"/>
        </w:rPr>
        <w:t xml:space="preserve">den </w:t>
      </w:r>
      <w:r w:rsidRPr="002000E8">
        <w:rPr>
          <w:rFonts w:cs="Arial"/>
          <w:color w:val="auto"/>
          <w:lang w:eastAsia="de-DE"/>
        </w:rPr>
        <w:t>Automo</w:t>
      </w:r>
      <w:r>
        <w:rPr>
          <w:rFonts w:cs="Arial"/>
          <w:color w:val="auto"/>
          <w:lang w:eastAsia="de-DE"/>
        </w:rPr>
        <w:t>bil-</w:t>
      </w:r>
      <w:r>
        <w:rPr>
          <w:rFonts w:cs="Arial"/>
          <w:color w:val="auto"/>
          <w:lang w:eastAsia="de-DE"/>
        </w:rPr>
        <w:lastRenderedPageBreak/>
        <w:t xml:space="preserve">Innenraum und die </w:t>
      </w:r>
      <w:r w:rsidRPr="002000E8">
        <w:rPr>
          <w:rFonts w:cs="Arial"/>
          <w:bCs/>
        </w:rPr>
        <w:t>elektrisch leitfähige</w:t>
      </w:r>
      <w:r>
        <w:rPr>
          <w:rFonts w:cs="Arial"/>
          <w:bCs/>
        </w:rPr>
        <w:t>n</w:t>
      </w:r>
      <w:r w:rsidRPr="002000E8">
        <w:rPr>
          <w:rFonts w:cs="Arial"/>
          <w:bCs/>
        </w:rPr>
        <w:t xml:space="preserve"> bzw. elektrostatisch ableitende</w:t>
      </w:r>
      <w:r>
        <w:rPr>
          <w:rFonts w:cs="Arial"/>
          <w:bCs/>
        </w:rPr>
        <w:t>n</w:t>
      </w:r>
      <w:r w:rsidRPr="002000E8">
        <w:rPr>
          <w:rFonts w:cs="Arial"/>
          <w:bCs/>
        </w:rPr>
        <w:t xml:space="preserve"> PS</w:t>
      </w:r>
      <w:r>
        <w:rPr>
          <w:rFonts w:cs="Arial"/>
          <w:bCs/>
        </w:rPr>
        <w:t>-</w:t>
      </w:r>
      <w:r w:rsidRPr="002000E8">
        <w:rPr>
          <w:rFonts w:cs="Arial"/>
          <w:bCs/>
        </w:rPr>
        <w:t>ESD</w:t>
      </w:r>
      <w:r>
        <w:rPr>
          <w:rFonts w:cs="Arial"/>
          <w:bCs/>
        </w:rPr>
        <w:t>-</w:t>
      </w:r>
      <w:r w:rsidRPr="002000E8">
        <w:rPr>
          <w:rFonts w:cs="Arial"/>
          <w:bCs/>
        </w:rPr>
        <w:t>Compounds</w:t>
      </w:r>
      <w:r w:rsidRPr="002000E8">
        <w:t xml:space="preserve"> </w:t>
      </w:r>
      <w:r w:rsidRPr="002000E8">
        <w:rPr>
          <w:rFonts w:cs="Arial"/>
          <w:bCs/>
        </w:rPr>
        <w:t>für Extrusion und Spritzguss, die speziell für den Schutz sensibler elektronischer Bauteile vor elektrostatischer Entladung (ESD) entwickelt wurden</w:t>
      </w:r>
      <w:r>
        <w:rPr>
          <w:rFonts w:cs="Arial"/>
        </w:rPr>
        <w:t>.</w:t>
      </w:r>
    </w:p>
    <w:p w14:paraId="097DF724" w14:textId="77777777" w:rsidR="00FA77F0" w:rsidRPr="00FA77F0" w:rsidRDefault="00FA77F0" w:rsidP="00FB2BB9">
      <w:pPr>
        <w:spacing w:before="120" w:beforeAutospacing="1" w:line="240" w:lineRule="auto"/>
        <w:rPr>
          <w:rFonts w:cs="Arial"/>
          <w:color w:val="auto"/>
          <w:sz w:val="18"/>
          <w:szCs w:val="18"/>
          <w:lang w:eastAsia="de-DE"/>
        </w:rPr>
      </w:pPr>
      <w:r w:rsidRPr="00FA77F0">
        <w:rPr>
          <w:rFonts w:eastAsiaTheme="majorEastAsia" w:cs="Arial"/>
          <w:i/>
          <w:iCs/>
          <w:color w:val="auto"/>
          <w:sz w:val="18"/>
          <w:szCs w:val="18"/>
          <w:lang w:eastAsia="de-DE"/>
        </w:rPr>
        <w:t>Die zur Polymer-Gruppe (www.polymer-gruppe.de) gehörige TechnoCompound GmbH (www.technocompound.com) in Bad Sobernheim ist ein führender Anbieter von maßgeschneiderten Kunststoff-Compounds in Europa und beschäftigt 105 Mitarbeitende. Sie verfügt über modernste Produktionsanlagen und compoundiert, veredelt und modifiziert Polymere mit einer Produktionskapazität von 60.000 t/a für kundenspezifische Anwendungen. Das breite Produktportfolio funktional modifizierter Kunststoffe reicht dabei von Commodities über technische Compounds bis zu thermoplastischen Elastomeren.</w:t>
      </w:r>
    </w:p>
    <w:p w14:paraId="407EDC2C" w14:textId="77777777" w:rsidR="00FA77F0" w:rsidRPr="00FA77F0" w:rsidRDefault="00FA77F0" w:rsidP="00FB2BB9">
      <w:pPr>
        <w:spacing w:before="120" w:beforeAutospacing="1" w:line="240" w:lineRule="auto"/>
        <w:rPr>
          <w:rFonts w:eastAsiaTheme="majorEastAsia" w:cs="Arial"/>
          <w:iCs/>
          <w:color w:val="auto"/>
          <w:sz w:val="18"/>
          <w:szCs w:val="18"/>
          <w:lang w:eastAsia="de-DE"/>
        </w:rPr>
      </w:pPr>
      <w:r w:rsidRPr="00FA77F0">
        <w:rPr>
          <w:rFonts w:eastAsiaTheme="majorEastAsia" w:cs="Arial"/>
          <w:i/>
          <w:iCs/>
          <w:color w:val="auto"/>
          <w:sz w:val="18"/>
          <w:szCs w:val="18"/>
          <w:lang w:eastAsia="de-DE"/>
        </w:rPr>
        <w:t xml:space="preserve">Das Haupteinsatzgebiet dieser Kunststoffe ist die Automobil- sowie deren Zulieferindustrie. Allerdings werden auch Anwendungen im Logistik-, Verpackungs- und Baubereich bedient. Auf Grund ihrer schlanken Organisation und ihrer modernen, durchsatzoptimierten Anlagen ist die TechnoCompound GmbH in der Lage, ihre Produkte zu wettbewerbsfähigen Preisen anzubieten. Zum Full-Service-Angebot gehören die anwendungstechnische Unterstützung vor Ort sowie die Entwicklung von individuellen und auf eine bestimmte Anwendung zugeschnittenen Compounds. </w:t>
      </w:r>
    </w:p>
    <w:p w14:paraId="5DD15CE3" w14:textId="77777777" w:rsidR="00FA77F0" w:rsidRPr="00FA77F0" w:rsidRDefault="00FA77F0" w:rsidP="00FB2BB9">
      <w:pPr>
        <w:spacing w:before="120" w:beforeAutospacing="1" w:line="240" w:lineRule="auto"/>
        <w:rPr>
          <w:rFonts w:eastAsiaTheme="majorEastAsia" w:cs="Arial"/>
          <w:iCs/>
          <w:color w:val="auto"/>
          <w:sz w:val="18"/>
          <w:szCs w:val="18"/>
          <w:lang w:eastAsia="de-DE"/>
        </w:rPr>
      </w:pPr>
      <w:r w:rsidRPr="00FA77F0">
        <w:rPr>
          <w:rFonts w:eastAsiaTheme="majorEastAsia" w:cs="Arial"/>
          <w:i/>
          <w:iCs/>
          <w:color w:val="auto"/>
          <w:sz w:val="18"/>
          <w:szCs w:val="18"/>
          <w:lang w:eastAsia="de-DE"/>
        </w:rPr>
        <w:t xml:space="preserve">Die Polymer-Gruppe mit Sitz in Bad Sobernheim entstand aus der 1973 gegründeten Polymer-Chemie GmbH, einem konzernunabhängigen Familienunternehmen, das Kunststoffe compoundiert, veredelt und modifiziert. Flexibel und leistungsstark unterstützt sie ihre Kunden zunehmend weltweit mit innovativen und maßgeschneiderten Produkten von höchster Qualität. Heute umfasst die Polymer-Gruppe die </w:t>
      </w:r>
      <w:proofErr w:type="spellStart"/>
      <w:r w:rsidRPr="00FA77F0">
        <w:rPr>
          <w:rFonts w:eastAsiaTheme="majorEastAsia" w:cs="Arial"/>
          <w:i/>
          <w:iCs/>
          <w:color w:val="auto"/>
          <w:sz w:val="18"/>
          <w:szCs w:val="18"/>
          <w:lang w:eastAsia="de-DE"/>
        </w:rPr>
        <w:t>Compoundierunternehmen</w:t>
      </w:r>
      <w:proofErr w:type="spellEnd"/>
      <w:r w:rsidRPr="00FA77F0">
        <w:rPr>
          <w:rFonts w:eastAsiaTheme="majorEastAsia" w:cs="Arial"/>
          <w:i/>
          <w:iCs/>
          <w:color w:val="auto"/>
          <w:sz w:val="18"/>
          <w:szCs w:val="18"/>
          <w:lang w:eastAsia="de-DE"/>
        </w:rPr>
        <w:t xml:space="preserve"> Polymer-Chemie, Polymer-Chemie Rus, Sun </w:t>
      </w:r>
      <w:proofErr w:type="spellStart"/>
      <w:r w:rsidRPr="00FA77F0">
        <w:rPr>
          <w:rFonts w:eastAsiaTheme="majorEastAsia" w:cs="Arial"/>
          <w:i/>
          <w:iCs/>
          <w:color w:val="auto"/>
          <w:sz w:val="18"/>
          <w:szCs w:val="18"/>
          <w:lang w:eastAsia="de-DE"/>
        </w:rPr>
        <w:t>Alloys</w:t>
      </w:r>
      <w:proofErr w:type="spellEnd"/>
      <w:r w:rsidRPr="00FA77F0">
        <w:rPr>
          <w:rFonts w:eastAsiaTheme="majorEastAsia" w:cs="Arial"/>
          <w:i/>
          <w:iCs/>
          <w:color w:val="auto"/>
          <w:sz w:val="18"/>
          <w:szCs w:val="18"/>
          <w:lang w:eastAsia="de-DE"/>
        </w:rPr>
        <w:t xml:space="preserve"> Europe, TechnoCompound, </w:t>
      </w:r>
      <w:proofErr w:type="spellStart"/>
      <w:r w:rsidRPr="00FA77F0">
        <w:rPr>
          <w:rFonts w:eastAsiaTheme="majorEastAsia" w:cs="Arial"/>
          <w:i/>
          <w:iCs/>
          <w:color w:val="auto"/>
          <w:sz w:val="18"/>
          <w:szCs w:val="18"/>
          <w:lang w:eastAsia="de-DE"/>
        </w:rPr>
        <w:t>PolyMIM</w:t>
      </w:r>
      <w:proofErr w:type="spellEnd"/>
      <w:r w:rsidRPr="00FA77F0">
        <w:rPr>
          <w:rFonts w:eastAsiaTheme="majorEastAsia" w:cs="Arial"/>
          <w:i/>
          <w:iCs/>
          <w:color w:val="auto"/>
          <w:sz w:val="18"/>
          <w:szCs w:val="18"/>
          <w:lang w:eastAsia="de-DE"/>
        </w:rPr>
        <w:t xml:space="preserve"> und </w:t>
      </w:r>
      <w:proofErr w:type="spellStart"/>
      <w:r w:rsidRPr="00FA77F0">
        <w:rPr>
          <w:rFonts w:eastAsiaTheme="majorEastAsia" w:cs="Arial"/>
          <w:i/>
          <w:iCs/>
          <w:color w:val="auto"/>
          <w:sz w:val="18"/>
          <w:szCs w:val="18"/>
          <w:lang w:eastAsia="de-DE"/>
        </w:rPr>
        <w:t>SoBiCo</w:t>
      </w:r>
      <w:proofErr w:type="spellEnd"/>
      <w:r w:rsidRPr="00FA77F0">
        <w:rPr>
          <w:rFonts w:eastAsiaTheme="majorEastAsia" w:cs="Arial"/>
          <w:i/>
          <w:iCs/>
          <w:color w:val="auto"/>
          <w:sz w:val="18"/>
          <w:szCs w:val="18"/>
          <w:lang w:eastAsia="de-DE"/>
        </w:rPr>
        <w:t xml:space="preserve"> und beschäftigt über 500 Mitarbeitende.</w:t>
      </w:r>
    </w:p>
    <w:p w14:paraId="43E54AFA" w14:textId="77777777" w:rsidR="00FA77F0" w:rsidRPr="00FA77F0" w:rsidRDefault="00FA77F0" w:rsidP="00FA77F0">
      <w:pPr>
        <w:spacing w:before="240" w:after="160" w:line="240" w:lineRule="auto"/>
        <w:rPr>
          <w:rFonts w:eastAsiaTheme="minorHAnsi" w:cstheme="minorBidi"/>
          <w:color w:val="auto"/>
          <w:sz w:val="22"/>
          <w:szCs w:val="22"/>
          <w:u w:val="single"/>
        </w:rPr>
      </w:pPr>
      <w:r w:rsidRPr="00FA77F0">
        <w:rPr>
          <w:rFonts w:eastAsiaTheme="minorHAnsi" w:cstheme="minorBidi"/>
          <w:color w:val="auto"/>
          <w:sz w:val="22"/>
          <w:szCs w:val="22"/>
          <w:u w:val="single"/>
        </w:rPr>
        <w:t>Weitere Auskünfte:</w:t>
      </w:r>
    </w:p>
    <w:p w14:paraId="4E7A42D8" w14:textId="77777777" w:rsidR="00FA77F0" w:rsidRPr="00FA77F0" w:rsidRDefault="00FA77F0" w:rsidP="00FA77F0">
      <w:pPr>
        <w:spacing w:before="0" w:after="120" w:line="240" w:lineRule="auto"/>
        <w:ind w:left="567"/>
        <w:rPr>
          <w:rFonts w:eastAsiaTheme="minorHAnsi" w:cstheme="minorBidi"/>
          <w:color w:val="auto"/>
          <w:sz w:val="22"/>
          <w:szCs w:val="22"/>
        </w:rPr>
      </w:pPr>
      <w:r w:rsidRPr="00FA77F0">
        <w:rPr>
          <w:rFonts w:eastAsiaTheme="minorHAnsi" w:cstheme="minorBidi"/>
          <w:color w:val="auto"/>
          <w:sz w:val="22"/>
          <w:szCs w:val="22"/>
        </w:rPr>
        <w:t>Rifat Erden, Leiter Vertrieb und Marketing, TechnoCompound GmbH,</w:t>
      </w:r>
      <w:r w:rsidRPr="00FA77F0">
        <w:rPr>
          <w:rFonts w:eastAsiaTheme="minorHAnsi" w:cstheme="minorBidi"/>
          <w:color w:val="auto"/>
          <w:sz w:val="22"/>
          <w:szCs w:val="22"/>
        </w:rPr>
        <w:br/>
        <w:t>Am Gefach, D-55566 Bad Sobernheim</w:t>
      </w:r>
      <w:r w:rsidRPr="00FA77F0">
        <w:rPr>
          <w:rFonts w:eastAsiaTheme="minorHAnsi" w:cstheme="minorBidi"/>
          <w:color w:val="auto"/>
          <w:sz w:val="22"/>
          <w:szCs w:val="22"/>
        </w:rPr>
        <w:br/>
        <w:t>Tel.:  +49 (0) 67 51/8 56 05-472, rifat.erden@technocompound.com</w:t>
      </w:r>
    </w:p>
    <w:p w14:paraId="43633322" w14:textId="77777777" w:rsidR="00FA77F0" w:rsidRPr="00FA77F0" w:rsidRDefault="00FA77F0" w:rsidP="00FA77F0">
      <w:pPr>
        <w:spacing w:before="0" w:after="160" w:line="240" w:lineRule="auto"/>
        <w:rPr>
          <w:rFonts w:eastAsiaTheme="minorHAnsi" w:cstheme="minorBidi"/>
          <w:color w:val="auto"/>
          <w:sz w:val="22"/>
          <w:szCs w:val="22"/>
          <w:u w:val="single"/>
        </w:rPr>
      </w:pPr>
      <w:r w:rsidRPr="00FA77F0">
        <w:rPr>
          <w:rFonts w:eastAsiaTheme="minorHAnsi" w:cstheme="minorBidi"/>
          <w:color w:val="auto"/>
          <w:sz w:val="22"/>
          <w:szCs w:val="22"/>
          <w:u w:val="single"/>
        </w:rPr>
        <w:t>Redaktioneller Kontakt und Belegexemplare:</w:t>
      </w:r>
    </w:p>
    <w:p w14:paraId="4FAD70F3" w14:textId="77777777" w:rsidR="00FA77F0" w:rsidRPr="00FA77F0" w:rsidRDefault="00FA77F0" w:rsidP="00FA77F0">
      <w:pPr>
        <w:spacing w:before="0" w:after="120" w:line="240" w:lineRule="auto"/>
        <w:ind w:left="567"/>
        <w:rPr>
          <w:rFonts w:eastAsiaTheme="minorHAnsi" w:cstheme="minorBidi"/>
          <w:color w:val="auto"/>
          <w:sz w:val="22"/>
          <w:szCs w:val="22"/>
        </w:rPr>
      </w:pPr>
      <w:r w:rsidRPr="00FA77F0">
        <w:rPr>
          <w:rFonts w:eastAsiaTheme="minorHAnsi" w:cstheme="minorBidi"/>
          <w:color w:val="auto"/>
          <w:sz w:val="22"/>
          <w:szCs w:val="22"/>
        </w:rPr>
        <w:t xml:space="preserve">Dr.-Ing. </w:t>
      </w:r>
      <w:r w:rsidRPr="00FA77F0">
        <w:rPr>
          <w:rFonts w:eastAsiaTheme="minorHAnsi" w:cstheme="minorBidi"/>
          <w:color w:val="auto"/>
          <w:sz w:val="22"/>
          <w:szCs w:val="22"/>
          <w:lang w:val="en-GB"/>
        </w:rPr>
        <w:t xml:space="preserve">Jörg Wolters, KONSENS Public Relations GmbH &amp; Co. </w:t>
      </w:r>
      <w:r w:rsidRPr="00FA77F0">
        <w:rPr>
          <w:rFonts w:eastAsiaTheme="minorHAnsi" w:cstheme="minorBidi"/>
          <w:color w:val="auto"/>
          <w:sz w:val="22"/>
          <w:szCs w:val="22"/>
        </w:rPr>
        <w:t>KG,</w:t>
      </w:r>
      <w:r w:rsidRPr="00FA77F0">
        <w:rPr>
          <w:rFonts w:eastAsiaTheme="minorHAnsi" w:cstheme="minorBidi"/>
          <w:color w:val="auto"/>
          <w:sz w:val="22"/>
          <w:szCs w:val="22"/>
        </w:rPr>
        <w:br/>
        <w:t>Hans-Böckler-Straße 20, D-63811 Stockstadt am Main</w:t>
      </w:r>
      <w:r w:rsidRPr="00FA77F0">
        <w:rPr>
          <w:rFonts w:eastAsiaTheme="minorHAnsi" w:cstheme="minorBidi"/>
          <w:color w:val="auto"/>
          <w:sz w:val="22"/>
          <w:szCs w:val="22"/>
        </w:rPr>
        <w:br/>
        <w:t xml:space="preserve">Tel.:  +49 (0) 60 27/99 00 5-13, </w:t>
      </w:r>
      <w:hyperlink r:id="rId10" w:history="1">
        <w:r w:rsidRPr="00FA77F0">
          <w:rPr>
            <w:rFonts w:eastAsiaTheme="minorHAnsi" w:cstheme="minorBidi"/>
            <w:color w:val="auto"/>
            <w:sz w:val="22"/>
            <w:szCs w:val="22"/>
          </w:rPr>
          <w:t>mail@konsens.de</w:t>
        </w:r>
      </w:hyperlink>
    </w:p>
    <w:p w14:paraId="217D5E74" w14:textId="58FFC361" w:rsidR="00FA77F0" w:rsidRPr="005361C9" w:rsidRDefault="00FA77F0" w:rsidP="005361C9">
      <w:pPr>
        <w:pBdr>
          <w:top w:val="single" w:sz="4" w:space="1" w:color="auto"/>
          <w:left w:val="single" w:sz="4" w:space="4" w:color="auto"/>
          <w:bottom w:val="single" w:sz="4" w:space="1" w:color="auto"/>
          <w:right w:val="single" w:sz="4" w:space="4" w:color="auto"/>
        </w:pBdr>
        <w:spacing w:before="0" w:after="160" w:line="240" w:lineRule="auto"/>
        <w:rPr>
          <w:rFonts w:eastAsiaTheme="minorHAnsi" w:cstheme="minorBidi"/>
          <w:color w:val="auto"/>
          <w:sz w:val="22"/>
          <w:szCs w:val="22"/>
        </w:rPr>
      </w:pPr>
      <w:r w:rsidRPr="00FA77F0">
        <w:rPr>
          <w:rFonts w:eastAsiaTheme="minorHAnsi" w:cstheme="minorBidi"/>
          <w:color w:val="auto"/>
          <w:sz w:val="22"/>
          <w:szCs w:val="22"/>
        </w:rPr>
        <w:t>Sie finden Text und Bild dieser Pressemitteilung</w:t>
      </w:r>
      <w:r w:rsidRPr="00FA77F0">
        <w:rPr>
          <w:rFonts w:eastAsiaTheme="minorHAnsi" w:cstheme="minorBidi"/>
          <w:color w:val="auto"/>
          <w:sz w:val="22"/>
          <w:szCs w:val="22"/>
          <w:u w:val="single"/>
        </w:rPr>
        <w:t xml:space="preserve"> </w:t>
      </w:r>
      <w:r w:rsidRPr="00FA77F0">
        <w:rPr>
          <w:rFonts w:eastAsiaTheme="minorHAnsi" w:cstheme="minorBidi"/>
          <w:color w:val="auto"/>
          <w:sz w:val="22"/>
          <w:szCs w:val="22"/>
        </w:rPr>
        <w:t xml:space="preserve">zum Herunterladen unter: </w:t>
      </w:r>
      <w:r w:rsidRPr="00FA77F0">
        <w:rPr>
          <w:rFonts w:eastAsiaTheme="minorHAnsi" w:cstheme="minorBidi"/>
          <w:b/>
          <w:i/>
          <w:color w:val="auto"/>
          <w:sz w:val="22"/>
          <w:szCs w:val="22"/>
        </w:rPr>
        <w:t>https://www.konsens.de/pressemitteilungen/technocompound-gmbh</w:t>
      </w:r>
    </w:p>
    <w:sectPr w:rsidR="00FA77F0" w:rsidRPr="005361C9">
      <w:headerReference w:type="default" r:id="rId11"/>
      <w:headerReference w:type="first" r:id="rId12"/>
      <w:pgSz w:w="11907" w:h="16840" w:code="9"/>
      <w:pgMar w:top="1276" w:right="1701" w:bottom="709" w:left="1701" w:header="62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BE127" w14:textId="77777777" w:rsidR="008348E8" w:rsidRDefault="008348E8">
      <w:pPr>
        <w:spacing w:before="0" w:line="240" w:lineRule="auto"/>
      </w:pPr>
      <w:r>
        <w:separator/>
      </w:r>
    </w:p>
  </w:endnote>
  <w:endnote w:type="continuationSeparator" w:id="0">
    <w:p w14:paraId="2E875BAC" w14:textId="77777777" w:rsidR="008348E8" w:rsidRDefault="008348E8">
      <w:pPr>
        <w:spacing w:before="0" w:line="240" w:lineRule="auto"/>
      </w:pPr>
      <w:r>
        <w:continuationSeparator/>
      </w:r>
    </w:p>
  </w:endnote>
  <w:endnote w:type="continuationNotice" w:id="1">
    <w:p w14:paraId="0F065873" w14:textId="77777777" w:rsidR="008348E8" w:rsidRDefault="008348E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15A4F" w14:textId="77777777" w:rsidR="008348E8" w:rsidRDefault="008348E8">
      <w:pPr>
        <w:spacing w:before="0" w:line="240" w:lineRule="auto"/>
      </w:pPr>
      <w:r>
        <w:separator/>
      </w:r>
    </w:p>
  </w:footnote>
  <w:footnote w:type="continuationSeparator" w:id="0">
    <w:p w14:paraId="08F80406" w14:textId="77777777" w:rsidR="008348E8" w:rsidRDefault="008348E8">
      <w:pPr>
        <w:spacing w:before="0" w:line="240" w:lineRule="auto"/>
      </w:pPr>
      <w:r>
        <w:continuationSeparator/>
      </w:r>
    </w:p>
  </w:footnote>
  <w:footnote w:type="continuationNotice" w:id="1">
    <w:p w14:paraId="18363848" w14:textId="77777777" w:rsidR="008348E8" w:rsidRDefault="008348E8">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71AD" w14:textId="09AB7BE2" w:rsidR="00F559DC" w:rsidRDefault="00F72CB0">
    <w:pPr>
      <w:pStyle w:val="Kopfzeile"/>
      <w:pBdr>
        <w:bottom w:val="single" w:sz="4" w:space="0" w:color="auto"/>
      </w:pBdr>
      <w:jc w:val="left"/>
    </w:pPr>
    <w:r>
      <w:t xml:space="preserve">Seite </w:t>
    </w:r>
    <w:r>
      <w:fldChar w:fldCharType="begin"/>
    </w:r>
    <w:r>
      <w:instrText xml:space="preserve"> PAGE </w:instrText>
    </w:r>
    <w:r>
      <w:fldChar w:fldCharType="separate"/>
    </w:r>
    <w:r>
      <w:rPr>
        <w:noProof/>
      </w:rPr>
      <w:t>4</w:t>
    </w:r>
    <w:r>
      <w:fldChar w:fldCharType="end"/>
    </w:r>
    <w:r>
      <w:t xml:space="preserve"> zur Pressemitteilung</w:t>
    </w:r>
    <w:r w:rsidR="00756A8F">
      <w:t xml:space="preserve">: </w:t>
    </w:r>
    <w:r w:rsidR="005361C9" w:rsidRPr="005361C9">
      <w:t xml:space="preserve">TechnoCompound </w:t>
    </w:r>
    <w:r w:rsidR="00756A8F">
      <w:t>auf der Fakuma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8"/>
    </w:tblGrid>
    <w:tr w:rsidR="00F559DC" w14:paraId="3F868BCB" w14:textId="77777777" w:rsidTr="000243FE">
      <w:tc>
        <w:tcPr>
          <w:tcW w:w="4247" w:type="dxa"/>
        </w:tcPr>
        <w:p w14:paraId="53AADDFD" w14:textId="6FCB0746" w:rsidR="00F559DC" w:rsidRDefault="000243FE">
          <w:pPr>
            <w:pStyle w:val="Kopfzeile"/>
            <w:pBdr>
              <w:bottom w:val="none" w:sz="0" w:space="0" w:color="auto"/>
            </w:pBdr>
            <w:jc w:val="left"/>
            <w:rPr>
              <w:noProof/>
              <w:sz w:val="44"/>
              <w:szCs w:val="44"/>
              <w:lang w:val="en-US"/>
            </w:rPr>
          </w:pPr>
          <w:r>
            <w:rPr>
              <w:noProof/>
              <w:sz w:val="44"/>
              <w:szCs w:val="44"/>
              <w:lang w:val="en-US"/>
            </w:rPr>
            <w:drawing>
              <wp:inline distT="0" distB="0" distL="0" distR="0" wp14:anchorId="5AE302F0" wp14:editId="0013C3D0">
                <wp:extent cx="2381844" cy="539885"/>
                <wp:effectExtent l="0" t="0" r="0" b="0"/>
                <wp:docPr id="13868339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33975" name="Grafik 1386833975"/>
                        <pic:cNvPicPr/>
                      </pic:nvPicPr>
                      <pic:blipFill>
                        <a:blip r:embed="rId1">
                          <a:extLst>
                            <a:ext uri="{28A0092B-C50C-407E-A947-70E740481C1C}">
                              <a14:useLocalDpi xmlns:a14="http://schemas.microsoft.com/office/drawing/2010/main" val="0"/>
                            </a:ext>
                          </a:extLst>
                        </a:blip>
                        <a:stretch>
                          <a:fillRect/>
                        </a:stretch>
                      </pic:blipFill>
                      <pic:spPr>
                        <a:xfrm>
                          <a:off x="0" y="0"/>
                          <a:ext cx="2605086" cy="590487"/>
                        </a:xfrm>
                        <a:prstGeom prst="rect">
                          <a:avLst/>
                        </a:prstGeom>
                      </pic:spPr>
                    </pic:pic>
                  </a:graphicData>
                </a:graphic>
              </wp:inline>
            </w:drawing>
          </w:r>
        </w:p>
      </w:tc>
      <w:tc>
        <w:tcPr>
          <w:tcW w:w="4248" w:type="dxa"/>
        </w:tcPr>
        <w:p w14:paraId="5D13112B" w14:textId="77777777" w:rsidR="00F559DC" w:rsidRDefault="00F72CB0">
          <w:pPr>
            <w:pStyle w:val="Kopfzeile"/>
            <w:pBdr>
              <w:bottom w:val="none" w:sz="0" w:space="0" w:color="auto"/>
            </w:pBdr>
            <w:tabs>
              <w:tab w:val="clear" w:pos="4536"/>
              <w:tab w:val="center" w:pos="4006"/>
            </w:tabs>
            <w:jc w:val="right"/>
            <w:rPr>
              <w:noProof/>
              <w:sz w:val="16"/>
              <w:szCs w:val="16"/>
              <w:lang w:val="en-US"/>
            </w:rPr>
          </w:pPr>
          <w:r>
            <w:rPr>
              <w:noProof/>
              <w:sz w:val="16"/>
              <w:szCs w:val="16"/>
              <w:lang w:eastAsia="de-DE"/>
            </w:rPr>
            <w:drawing>
              <wp:inline distT="0" distB="0" distL="0" distR="0" wp14:anchorId="796348F2" wp14:editId="70F268D1">
                <wp:extent cx="2243455" cy="372110"/>
                <wp:effectExtent l="0" t="0" r="4445" b="8890"/>
                <wp:docPr id="1688559360" name="Grafik 2" descr="Ein Bild, das Grafiken, Grafikdesign, Schrif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310" name="Grafik 2" descr="Ein Bild, das Grafiken, Grafikdesign, Schrift,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3455" cy="372110"/>
                        </a:xfrm>
                        <a:prstGeom prst="rect">
                          <a:avLst/>
                        </a:prstGeom>
                        <a:noFill/>
                      </pic:spPr>
                    </pic:pic>
                  </a:graphicData>
                </a:graphic>
              </wp:inline>
            </w:drawing>
          </w:r>
        </w:p>
      </w:tc>
    </w:tr>
    <w:tr w:rsidR="00F559DC" w14:paraId="46149A38" w14:textId="77777777" w:rsidTr="000243FE">
      <w:tc>
        <w:tcPr>
          <w:tcW w:w="4247" w:type="dxa"/>
          <w:vAlign w:val="bottom"/>
        </w:tcPr>
        <w:p w14:paraId="27ADB72D" w14:textId="0F5F6668" w:rsidR="00F559DC" w:rsidRPr="000243FE" w:rsidRDefault="000243FE" w:rsidP="000243FE">
          <w:pPr>
            <w:pStyle w:val="Kopfzeile"/>
            <w:pBdr>
              <w:bottom w:val="none" w:sz="0" w:space="0" w:color="auto"/>
            </w:pBdr>
            <w:jc w:val="left"/>
            <w:rPr>
              <w:noProof/>
              <w:sz w:val="32"/>
              <w:szCs w:val="32"/>
              <w:lang w:val="en-US"/>
            </w:rPr>
          </w:pPr>
          <w:r w:rsidRPr="000243FE">
            <w:rPr>
              <w:noProof/>
              <w:sz w:val="32"/>
              <w:szCs w:val="32"/>
            </w:rPr>
            <w:t xml:space="preserve">Halle A4, Stand </w:t>
          </w:r>
          <w:r>
            <w:rPr>
              <w:noProof/>
              <w:sz w:val="32"/>
              <w:szCs w:val="32"/>
            </w:rPr>
            <w:t>A4-</w:t>
          </w:r>
          <w:r w:rsidRPr="000243FE">
            <w:rPr>
              <w:noProof/>
              <w:sz w:val="32"/>
              <w:szCs w:val="32"/>
            </w:rPr>
            <w:t>4217</w:t>
          </w:r>
        </w:p>
      </w:tc>
      <w:tc>
        <w:tcPr>
          <w:tcW w:w="4248" w:type="dxa"/>
          <w:vAlign w:val="bottom"/>
        </w:tcPr>
        <w:p w14:paraId="4E58F750" w14:textId="77777777" w:rsidR="00F559DC" w:rsidRPr="000243FE" w:rsidRDefault="00F72CB0">
          <w:pPr>
            <w:pStyle w:val="Kopfzeile"/>
            <w:pBdr>
              <w:bottom w:val="none" w:sz="0" w:space="0" w:color="auto"/>
            </w:pBdr>
            <w:jc w:val="right"/>
            <w:rPr>
              <w:noProof/>
              <w:sz w:val="48"/>
              <w:szCs w:val="48"/>
              <w:lang w:val="en-US"/>
            </w:rPr>
          </w:pPr>
          <w:r w:rsidRPr="000243FE">
            <w:rPr>
              <w:noProof/>
              <w:sz w:val="48"/>
              <w:szCs w:val="48"/>
              <w:lang w:val="en-US"/>
            </w:rPr>
            <w:t>Pressemitteilung</w:t>
          </w:r>
        </w:p>
      </w:tc>
    </w:tr>
  </w:tbl>
  <w:p w14:paraId="1F6D2E3D" w14:textId="77777777" w:rsidR="00F559DC" w:rsidRDefault="00F559DC">
    <w:pPr>
      <w:pStyle w:val="Kopfzeile"/>
      <w:pBdr>
        <w:bottom w:val="none" w:sz="0" w:space="0" w:color="auto"/>
      </w:pBdr>
      <w:jc w:val="left"/>
      <w:rPr>
        <w:noProof/>
        <w:sz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pt;height:44.45pt" o:bullet="t">
        <v:imagedata r:id="rId1" o:title="art8998"/>
      </v:shape>
    </w:pict>
  </w:numPicBullet>
  <w:abstractNum w:abstractNumId="0" w15:restartNumberingAfterBreak="0">
    <w:nsid w:val="FFFFFF89"/>
    <w:multiLevelType w:val="singleLevel"/>
    <w:tmpl w:val="0E24D54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F969EC"/>
    <w:multiLevelType w:val="hybridMultilevel"/>
    <w:tmpl w:val="7F08C9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004230B"/>
    <w:multiLevelType w:val="hybridMultilevel"/>
    <w:tmpl w:val="25F8E9B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B12ADC"/>
    <w:multiLevelType w:val="hybridMultilevel"/>
    <w:tmpl w:val="CEFE9368"/>
    <w:lvl w:ilvl="0" w:tplc="8A5C8B6A">
      <w:start w:val="1"/>
      <w:numFmt w:val="bullet"/>
      <w:lvlText w:val=""/>
      <w:lvlPicBulletId w:val="0"/>
      <w:lvlJc w:val="left"/>
      <w:pPr>
        <w:tabs>
          <w:tab w:val="num" w:pos="720"/>
        </w:tabs>
        <w:ind w:left="720" w:hanging="360"/>
      </w:pPr>
      <w:rPr>
        <w:rFonts w:ascii="Symbol" w:hAnsi="Symbol" w:hint="default"/>
      </w:rPr>
    </w:lvl>
    <w:lvl w:ilvl="1" w:tplc="DB96C17A">
      <w:start w:val="1"/>
      <w:numFmt w:val="bullet"/>
      <w:lvlText w:val=""/>
      <w:lvlPicBulletId w:val="0"/>
      <w:lvlJc w:val="left"/>
      <w:pPr>
        <w:tabs>
          <w:tab w:val="num" w:pos="1440"/>
        </w:tabs>
        <w:ind w:left="1440" w:hanging="360"/>
      </w:pPr>
      <w:rPr>
        <w:rFonts w:ascii="Symbol" w:hAnsi="Symbol" w:hint="default"/>
      </w:rPr>
    </w:lvl>
    <w:lvl w:ilvl="2" w:tplc="F600FFC2" w:tentative="1">
      <w:start w:val="1"/>
      <w:numFmt w:val="bullet"/>
      <w:lvlText w:val=""/>
      <w:lvlPicBulletId w:val="0"/>
      <w:lvlJc w:val="left"/>
      <w:pPr>
        <w:tabs>
          <w:tab w:val="num" w:pos="2160"/>
        </w:tabs>
        <w:ind w:left="2160" w:hanging="360"/>
      </w:pPr>
      <w:rPr>
        <w:rFonts w:ascii="Symbol" w:hAnsi="Symbol" w:hint="default"/>
      </w:rPr>
    </w:lvl>
    <w:lvl w:ilvl="3" w:tplc="3866EDC4" w:tentative="1">
      <w:start w:val="1"/>
      <w:numFmt w:val="bullet"/>
      <w:lvlText w:val=""/>
      <w:lvlPicBulletId w:val="0"/>
      <w:lvlJc w:val="left"/>
      <w:pPr>
        <w:tabs>
          <w:tab w:val="num" w:pos="2880"/>
        </w:tabs>
        <w:ind w:left="2880" w:hanging="360"/>
      </w:pPr>
      <w:rPr>
        <w:rFonts w:ascii="Symbol" w:hAnsi="Symbol" w:hint="default"/>
      </w:rPr>
    </w:lvl>
    <w:lvl w:ilvl="4" w:tplc="3F7E1324" w:tentative="1">
      <w:start w:val="1"/>
      <w:numFmt w:val="bullet"/>
      <w:lvlText w:val=""/>
      <w:lvlPicBulletId w:val="0"/>
      <w:lvlJc w:val="left"/>
      <w:pPr>
        <w:tabs>
          <w:tab w:val="num" w:pos="3600"/>
        </w:tabs>
        <w:ind w:left="3600" w:hanging="360"/>
      </w:pPr>
      <w:rPr>
        <w:rFonts w:ascii="Symbol" w:hAnsi="Symbol" w:hint="default"/>
      </w:rPr>
    </w:lvl>
    <w:lvl w:ilvl="5" w:tplc="BF36EDF6" w:tentative="1">
      <w:start w:val="1"/>
      <w:numFmt w:val="bullet"/>
      <w:lvlText w:val=""/>
      <w:lvlPicBulletId w:val="0"/>
      <w:lvlJc w:val="left"/>
      <w:pPr>
        <w:tabs>
          <w:tab w:val="num" w:pos="4320"/>
        </w:tabs>
        <w:ind w:left="4320" w:hanging="360"/>
      </w:pPr>
      <w:rPr>
        <w:rFonts w:ascii="Symbol" w:hAnsi="Symbol" w:hint="default"/>
      </w:rPr>
    </w:lvl>
    <w:lvl w:ilvl="6" w:tplc="BD0C2114" w:tentative="1">
      <w:start w:val="1"/>
      <w:numFmt w:val="bullet"/>
      <w:lvlText w:val=""/>
      <w:lvlPicBulletId w:val="0"/>
      <w:lvlJc w:val="left"/>
      <w:pPr>
        <w:tabs>
          <w:tab w:val="num" w:pos="5040"/>
        </w:tabs>
        <w:ind w:left="5040" w:hanging="360"/>
      </w:pPr>
      <w:rPr>
        <w:rFonts w:ascii="Symbol" w:hAnsi="Symbol" w:hint="default"/>
      </w:rPr>
    </w:lvl>
    <w:lvl w:ilvl="7" w:tplc="5E4CFA66" w:tentative="1">
      <w:start w:val="1"/>
      <w:numFmt w:val="bullet"/>
      <w:lvlText w:val=""/>
      <w:lvlPicBulletId w:val="0"/>
      <w:lvlJc w:val="left"/>
      <w:pPr>
        <w:tabs>
          <w:tab w:val="num" w:pos="5760"/>
        </w:tabs>
        <w:ind w:left="5760" w:hanging="360"/>
      </w:pPr>
      <w:rPr>
        <w:rFonts w:ascii="Symbol" w:hAnsi="Symbol" w:hint="default"/>
      </w:rPr>
    </w:lvl>
    <w:lvl w:ilvl="8" w:tplc="CF6CD934" w:tentative="1">
      <w:start w:val="1"/>
      <w:numFmt w:val="bullet"/>
      <w:lvlText w:val=""/>
      <w:lvlPicBulletId w:val="0"/>
      <w:lvlJc w:val="left"/>
      <w:pPr>
        <w:tabs>
          <w:tab w:val="num" w:pos="6480"/>
        </w:tabs>
        <w:ind w:left="6480" w:hanging="360"/>
      </w:pPr>
      <w:rPr>
        <w:rFonts w:ascii="Symbol" w:hAnsi="Symbol" w:hint="default"/>
      </w:rPr>
    </w:lvl>
  </w:abstractNum>
  <w:num w:numId="1" w16cid:durableId="1722485266">
    <w:abstractNumId w:val="1"/>
  </w:num>
  <w:num w:numId="2" w16cid:durableId="1974091438">
    <w:abstractNumId w:val="2"/>
  </w:num>
  <w:num w:numId="3" w16cid:durableId="1774474775">
    <w:abstractNumId w:val="3"/>
  </w:num>
  <w:num w:numId="4" w16cid:durableId="199048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activeWritingStyle w:appName="MSWord" w:lang="de-DE"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3"/>
  <w:hyphenationZone w:val="454"/>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DC"/>
    <w:rsid w:val="000243FE"/>
    <w:rsid w:val="000259DC"/>
    <w:rsid w:val="00031FB0"/>
    <w:rsid w:val="000471E8"/>
    <w:rsid w:val="000541E0"/>
    <w:rsid w:val="00061CC8"/>
    <w:rsid w:val="000876BD"/>
    <w:rsid w:val="000C3872"/>
    <w:rsid w:val="0015557C"/>
    <w:rsid w:val="001708DF"/>
    <w:rsid w:val="00187F9D"/>
    <w:rsid w:val="001B553A"/>
    <w:rsid w:val="002000E8"/>
    <w:rsid w:val="0027684A"/>
    <w:rsid w:val="002A2A9E"/>
    <w:rsid w:val="002D7C82"/>
    <w:rsid w:val="00312659"/>
    <w:rsid w:val="00337270"/>
    <w:rsid w:val="003A6683"/>
    <w:rsid w:val="00483D40"/>
    <w:rsid w:val="00486F12"/>
    <w:rsid w:val="005361C9"/>
    <w:rsid w:val="00543861"/>
    <w:rsid w:val="005464C8"/>
    <w:rsid w:val="005A7E41"/>
    <w:rsid w:val="005B69E3"/>
    <w:rsid w:val="005D7167"/>
    <w:rsid w:val="006B7F28"/>
    <w:rsid w:val="006E48F2"/>
    <w:rsid w:val="00745AC9"/>
    <w:rsid w:val="00756A8F"/>
    <w:rsid w:val="00767D38"/>
    <w:rsid w:val="007B4BD5"/>
    <w:rsid w:val="007C356A"/>
    <w:rsid w:val="008348E8"/>
    <w:rsid w:val="00847E32"/>
    <w:rsid w:val="00856C7D"/>
    <w:rsid w:val="00876616"/>
    <w:rsid w:val="008F082E"/>
    <w:rsid w:val="00905FF1"/>
    <w:rsid w:val="00935ED0"/>
    <w:rsid w:val="009F2D92"/>
    <w:rsid w:val="00A972D0"/>
    <w:rsid w:val="00B221E1"/>
    <w:rsid w:val="00BA1D0C"/>
    <w:rsid w:val="00BA4593"/>
    <w:rsid w:val="00C04F74"/>
    <w:rsid w:val="00C32956"/>
    <w:rsid w:val="00C412F1"/>
    <w:rsid w:val="00C66F9D"/>
    <w:rsid w:val="00CB06C4"/>
    <w:rsid w:val="00CD6918"/>
    <w:rsid w:val="00D5149F"/>
    <w:rsid w:val="00D82721"/>
    <w:rsid w:val="00D9777A"/>
    <w:rsid w:val="00DB722E"/>
    <w:rsid w:val="00DC1A92"/>
    <w:rsid w:val="00E13704"/>
    <w:rsid w:val="00E34711"/>
    <w:rsid w:val="00E873EA"/>
    <w:rsid w:val="00EA0938"/>
    <w:rsid w:val="00EC2B57"/>
    <w:rsid w:val="00EC6B64"/>
    <w:rsid w:val="00F2157F"/>
    <w:rsid w:val="00F559DC"/>
    <w:rsid w:val="00F67DAD"/>
    <w:rsid w:val="00F72CB0"/>
    <w:rsid w:val="00F83B95"/>
    <w:rsid w:val="00FA77F0"/>
    <w:rsid w:val="00FB2BB9"/>
    <w:rsid w:val="00FD5E6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64906"/>
  <w15:chartTrackingRefBased/>
  <w15:docId w15:val="{7066E704-C290-4F12-92E2-555D887B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0" w:line="360" w:lineRule="auto"/>
    </w:pPr>
    <w:rPr>
      <w:rFonts w:ascii="Arial" w:hAnsi="Arial"/>
      <w:color w:val="000000"/>
      <w:sz w:val="24"/>
      <w:szCs w:val="24"/>
      <w:lang w:eastAsia="en-US"/>
    </w:rPr>
  </w:style>
  <w:style w:type="paragraph" w:styleId="berschrift1">
    <w:name w:val="heading 1"/>
    <w:basedOn w:val="Standard"/>
    <w:next w:val="Standard"/>
    <w:qFormat/>
    <w:pPr>
      <w:widowControl w:val="0"/>
      <w:spacing w:before="120" w:after="240" w:line="240" w:lineRule="auto"/>
      <w:outlineLvl w:val="0"/>
    </w:pPr>
    <w:rPr>
      <w:rFonts w:cs="Arial"/>
      <w:b/>
      <w:bCs/>
      <w:kern w:val="32"/>
      <w:sz w:val="36"/>
      <w:szCs w:val="32"/>
    </w:rPr>
  </w:style>
  <w:style w:type="paragraph" w:styleId="berschrift2">
    <w:name w:val="heading 2"/>
    <w:basedOn w:val="Standard"/>
    <w:next w:val="Standard"/>
    <w:qFormat/>
    <w:pPr>
      <w:keepNext/>
      <w:spacing w:before="240" w:line="240" w:lineRule="auto"/>
      <w:outlineLvl w:val="1"/>
    </w:pPr>
    <w:rPr>
      <w:rFonts w:cs="Arial"/>
      <w:b/>
      <w:bCs/>
      <w:i/>
      <w:iCs/>
    </w:rPr>
  </w:style>
  <w:style w:type="paragraph" w:styleId="berschrift3">
    <w:name w:val="heading 3"/>
    <w:basedOn w:val="Standard"/>
    <w:next w:val="Standard"/>
    <w:link w:val="berschrift3Zchn"/>
    <w:uiPriority w:val="9"/>
    <w:semiHidden/>
    <w:unhideWhenUsed/>
    <w:qFormat/>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essemitteilung">
    <w:name w:val="Pressemitteilung"/>
    <w:basedOn w:val="Standard"/>
    <w:next w:val="Standard"/>
    <w:rPr>
      <w:b/>
      <w:sz w:val="48"/>
    </w:rPr>
  </w:style>
  <w:style w:type="character" w:styleId="Hyperlink">
    <w:name w:val="Hyperlink"/>
    <w:rPr>
      <w:color w:val="0000FF"/>
      <w:u w:val="single"/>
    </w:rPr>
  </w:style>
  <w:style w:type="paragraph" w:customStyle="1" w:styleId="Bildunterschrift">
    <w:name w:val="Bildunterschrift"/>
    <w:basedOn w:val="Standard"/>
    <w:pPr>
      <w:spacing w:before="120" w:line="240" w:lineRule="auto"/>
    </w:pPr>
    <w:rPr>
      <w:i/>
    </w:rPr>
  </w:style>
  <w:style w:type="paragraph" w:styleId="Kopfzeile">
    <w:name w:val="header"/>
    <w:basedOn w:val="Standard"/>
    <w:link w:val="KopfzeileZchn"/>
    <w:pPr>
      <w:pBdr>
        <w:bottom w:val="single" w:sz="4" w:space="1" w:color="auto"/>
      </w:pBdr>
      <w:tabs>
        <w:tab w:val="center" w:pos="4536"/>
        <w:tab w:val="right" w:pos="9072"/>
      </w:tabs>
      <w:spacing w:before="0" w:line="240" w:lineRule="auto"/>
      <w:jc w:val="center"/>
    </w:pPr>
    <w:rPr>
      <w:sz w:val="18"/>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Default">
    <w:name w:val="Default"/>
    <w:pPr>
      <w:autoSpaceDE w:val="0"/>
      <w:autoSpaceDN w:val="0"/>
      <w:adjustRightInd w:val="0"/>
    </w:pPr>
    <w:rPr>
      <w:rFonts w:ascii="Arial" w:hAnsi="Arial" w:cs="Arial"/>
      <w:color w:val="000000"/>
      <w:sz w:val="24"/>
      <w:szCs w:val="24"/>
    </w:rPr>
  </w:style>
  <w:style w:type="table" w:customStyle="1" w:styleId="Tabellengitternetz">
    <w:name w:val="Tabellengitternetz"/>
    <w:basedOn w:val="NormaleTabelle"/>
    <w:pPr>
      <w:spacing w:before="36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lang w:eastAsia="en-US"/>
    </w:rPr>
  </w:style>
  <w:style w:type="character" w:customStyle="1" w:styleId="KopfzeileZchn">
    <w:name w:val="Kopfzeile Zchn"/>
    <w:link w:val="Kopfzeile"/>
    <w:rPr>
      <w:rFonts w:ascii="Arial" w:hAnsi="Arial"/>
      <w:color w:val="000000"/>
      <w:sz w:val="18"/>
      <w:szCs w:val="24"/>
      <w:lang w:eastAsia="en-US"/>
    </w:rPr>
  </w:style>
  <w:style w:type="paragraph" w:styleId="Sprechblasentext">
    <w:name w:val="Balloon Text"/>
    <w:basedOn w:val="Standard"/>
    <w:link w:val="SprechblasentextZchn"/>
    <w:uiPriority w:val="99"/>
    <w:semiHidden/>
    <w:unhideWhenUsed/>
    <w:pPr>
      <w:spacing w:before="0" w:line="240" w:lineRule="auto"/>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color w:val="000000"/>
      <w:sz w:val="18"/>
      <w:szCs w:val="18"/>
      <w:lang w:eastAsia="en-US"/>
    </w:rPr>
  </w:style>
  <w:style w:type="character" w:styleId="Hervorhebung">
    <w:name w:val="Emphasis"/>
    <w:uiPriority w:val="20"/>
    <w:qFormat/>
    <w:rPr>
      <w:i/>
      <w:iCs/>
    </w:rPr>
  </w:style>
  <w:style w:type="paragraph" w:styleId="StandardWeb">
    <w:name w:val="Normal (Web)"/>
    <w:basedOn w:val="Standard"/>
    <w:uiPriority w:val="99"/>
    <w:unhideWhenUsed/>
    <w:pPr>
      <w:spacing w:before="0" w:after="100" w:afterAutospacing="1" w:line="240" w:lineRule="auto"/>
    </w:pPr>
    <w:rPr>
      <w:rFonts w:ascii="Times New Roman" w:hAnsi="Times New Roman"/>
      <w:color w:val="auto"/>
      <w:lang w:eastAsia="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rFonts w:ascii="Arial" w:hAnsi="Arial"/>
      <w:color w:val="000000"/>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b/>
      <w:bCs/>
      <w:color w:val="000000"/>
      <w:lang w:eastAsia="en-US"/>
    </w:rPr>
  </w:style>
  <w:style w:type="paragraph" w:styleId="berarbeitung">
    <w:name w:val="Revision"/>
    <w:hidden/>
    <w:uiPriority w:val="99"/>
    <w:semiHidden/>
    <w:rPr>
      <w:rFonts w:ascii="Arial" w:hAnsi="Arial"/>
      <w:color w:val="000000"/>
      <w:sz w:val="24"/>
      <w:szCs w:val="24"/>
      <w:lang w:eastAsia="en-US"/>
    </w:rP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pPr>
      <w:numPr>
        <w:numId w:val="4"/>
      </w:numPr>
      <w:contextualSpacing/>
    </w:pPr>
  </w:style>
  <w:style w:type="character" w:styleId="NichtaufgelsteErwhnung">
    <w:name w:val="Unresolved Mention"/>
    <w:basedOn w:val="Absatz-Standardschriftart"/>
    <w:uiPriority w:val="99"/>
    <w:semiHidden/>
    <w:unhideWhenUsed/>
    <w:rsid w:val="00FA77F0"/>
    <w:rPr>
      <w:color w:val="605E5C"/>
      <w:shd w:val="clear" w:color="auto" w:fill="E1DFDD"/>
    </w:rPr>
  </w:style>
  <w:style w:type="character" w:styleId="BesuchterLink">
    <w:name w:val="FollowedHyperlink"/>
    <w:basedOn w:val="Absatz-Standardschriftart"/>
    <w:uiPriority w:val="99"/>
    <w:semiHidden/>
    <w:unhideWhenUsed/>
    <w:rsid w:val="00D827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9305">
      <w:bodyDiv w:val="1"/>
      <w:marLeft w:val="0"/>
      <w:marRight w:val="0"/>
      <w:marTop w:val="0"/>
      <w:marBottom w:val="0"/>
      <w:divBdr>
        <w:top w:val="none" w:sz="0" w:space="0" w:color="auto"/>
        <w:left w:val="none" w:sz="0" w:space="0" w:color="auto"/>
        <w:bottom w:val="none" w:sz="0" w:space="0" w:color="auto"/>
        <w:right w:val="none" w:sz="0" w:space="0" w:color="auto"/>
      </w:divBdr>
      <w:divsChild>
        <w:div w:id="286202162">
          <w:marLeft w:val="979"/>
          <w:marRight w:val="0"/>
          <w:marTop w:val="65"/>
          <w:marBottom w:val="0"/>
          <w:divBdr>
            <w:top w:val="none" w:sz="0" w:space="0" w:color="auto"/>
            <w:left w:val="none" w:sz="0" w:space="0" w:color="auto"/>
            <w:bottom w:val="none" w:sz="0" w:space="0" w:color="auto"/>
            <w:right w:val="none" w:sz="0" w:space="0" w:color="auto"/>
          </w:divBdr>
        </w:div>
        <w:div w:id="674922295">
          <w:marLeft w:val="979"/>
          <w:marRight w:val="0"/>
          <w:marTop w:val="65"/>
          <w:marBottom w:val="0"/>
          <w:divBdr>
            <w:top w:val="none" w:sz="0" w:space="0" w:color="auto"/>
            <w:left w:val="none" w:sz="0" w:space="0" w:color="auto"/>
            <w:bottom w:val="none" w:sz="0" w:space="0" w:color="auto"/>
            <w:right w:val="none" w:sz="0" w:space="0" w:color="auto"/>
          </w:divBdr>
        </w:div>
      </w:divsChild>
    </w:div>
    <w:div w:id="274749186">
      <w:bodyDiv w:val="1"/>
      <w:marLeft w:val="0"/>
      <w:marRight w:val="0"/>
      <w:marTop w:val="0"/>
      <w:marBottom w:val="0"/>
      <w:divBdr>
        <w:top w:val="none" w:sz="0" w:space="0" w:color="auto"/>
        <w:left w:val="none" w:sz="0" w:space="0" w:color="auto"/>
        <w:bottom w:val="none" w:sz="0" w:space="0" w:color="auto"/>
        <w:right w:val="none" w:sz="0" w:space="0" w:color="auto"/>
      </w:divBdr>
    </w:div>
    <w:div w:id="417754608">
      <w:bodyDiv w:val="1"/>
      <w:marLeft w:val="0"/>
      <w:marRight w:val="0"/>
      <w:marTop w:val="0"/>
      <w:marBottom w:val="0"/>
      <w:divBdr>
        <w:top w:val="none" w:sz="0" w:space="0" w:color="auto"/>
        <w:left w:val="none" w:sz="0" w:space="0" w:color="auto"/>
        <w:bottom w:val="none" w:sz="0" w:space="0" w:color="auto"/>
        <w:right w:val="none" w:sz="0" w:space="0" w:color="auto"/>
      </w:divBdr>
      <w:divsChild>
        <w:div w:id="735590521">
          <w:marLeft w:val="0"/>
          <w:marRight w:val="0"/>
          <w:marTop w:val="0"/>
          <w:marBottom w:val="0"/>
          <w:divBdr>
            <w:top w:val="none" w:sz="0" w:space="0" w:color="auto"/>
            <w:left w:val="none" w:sz="0" w:space="0" w:color="auto"/>
            <w:bottom w:val="none" w:sz="0" w:space="0" w:color="auto"/>
            <w:right w:val="none" w:sz="0" w:space="0" w:color="auto"/>
          </w:divBdr>
          <w:divsChild>
            <w:div w:id="909922527">
              <w:marLeft w:val="0"/>
              <w:marRight w:val="0"/>
              <w:marTop w:val="0"/>
              <w:marBottom w:val="0"/>
              <w:divBdr>
                <w:top w:val="none" w:sz="0" w:space="0" w:color="auto"/>
                <w:left w:val="none" w:sz="0" w:space="0" w:color="auto"/>
                <w:bottom w:val="none" w:sz="0" w:space="0" w:color="auto"/>
                <w:right w:val="none" w:sz="0" w:space="0" w:color="auto"/>
              </w:divBdr>
              <w:divsChild>
                <w:div w:id="407727170">
                  <w:marLeft w:val="0"/>
                  <w:marRight w:val="0"/>
                  <w:marTop w:val="0"/>
                  <w:marBottom w:val="0"/>
                  <w:divBdr>
                    <w:top w:val="none" w:sz="0" w:space="0" w:color="auto"/>
                    <w:left w:val="none" w:sz="0" w:space="0" w:color="auto"/>
                    <w:bottom w:val="none" w:sz="0" w:space="0" w:color="auto"/>
                    <w:right w:val="none" w:sz="0" w:space="0" w:color="auto"/>
                  </w:divBdr>
                  <w:divsChild>
                    <w:div w:id="122426231">
                      <w:marLeft w:val="0"/>
                      <w:marRight w:val="0"/>
                      <w:marTop w:val="0"/>
                      <w:marBottom w:val="0"/>
                      <w:divBdr>
                        <w:top w:val="none" w:sz="0" w:space="0" w:color="auto"/>
                        <w:left w:val="none" w:sz="0" w:space="0" w:color="auto"/>
                        <w:bottom w:val="none" w:sz="0" w:space="0" w:color="auto"/>
                        <w:right w:val="none" w:sz="0" w:space="0" w:color="auto"/>
                      </w:divBdr>
                    </w:div>
                    <w:div w:id="378868671">
                      <w:marLeft w:val="0"/>
                      <w:marRight w:val="0"/>
                      <w:marTop w:val="0"/>
                      <w:marBottom w:val="0"/>
                      <w:divBdr>
                        <w:top w:val="none" w:sz="0" w:space="0" w:color="auto"/>
                        <w:left w:val="none" w:sz="0" w:space="0" w:color="auto"/>
                        <w:bottom w:val="none" w:sz="0" w:space="0" w:color="auto"/>
                        <w:right w:val="none" w:sz="0" w:space="0" w:color="auto"/>
                      </w:divBdr>
                    </w:div>
                    <w:div w:id="738284376">
                      <w:marLeft w:val="0"/>
                      <w:marRight w:val="0"/>
                      <w:marTop w:val="0"/>
                      <w:marBottom w:val="0"/>
                      <w:divBdr>
                        <w:top w:val="none" w:sz="0" w:space="0" w:color="auto"/>
                        <w:left w:val="none" w:sz="0" w:space="0" w:color="auto"/>
                        <w:bottom w:val="none" w:sz="0" w:space="0" w:color="auto"/>
                        <w:right w:val="none" w:sz="0" w:space="0" w:color="auto"/>
                      </w:divBdr>
                    </w:div>
                    <w:div w:id="1333336571">
                      <w:marLeft w:val="0"/>
                      <w:marRight w:val="0"/>
                      <w:marTop w:val="0"/>
                      <w:marBottom w:val="0"/>
                      <w:divBdr>
                        <w:top w:val="none" w:sz="0" w:space="0" w:color="auto"/>
                        <w:left w:val="none" w:sz="0" w:space="0" w:color="auto"/>
                        <w:bottom w:val="none" w:sz="0" w:space="0" w:color="auto"/>
                        <w:right w:val="none" w:sz="0" w:space="0" w:color="auto"/>
                      </w:divBdr>
                    </w:div>
                  </w:divsChild>
                </w:div>
                <w:div w:id="1395347319">
                  <w:marLeft w:val="0"/>
                  <w:marRight w:val="0"/>
                  <w:marTop w:val="0"/>
                  <w:marBottom w:val="0"/>
                  <w:divBdr>
                    <w:top w:val="none" w:sz="0" w:space="0" w:color="auto"/>
                    <w:left w:val="none" w:sz="0" w:space="0" w:color="auto"/>
                    <w:bottom w:val="none" w:sz="0" w:space="0" w:color="auto"/>
                    <w:right w:val="none" w:sz="0" w:space="0" w:color="auto"/>
                  </w:divBdr>
                  <w:divsChild>
                    <w:div w:id="194081164">
                      <w:marLeft w:val="0"/>
                      <w:marRight w:val="0"/>
                      <w:marTop w:val="0"/>
                      <w:marBottom w:val="0"/>
                      <w:divBdr>
                        <w:top w:val="none" w:sz="0" w:space="0" w:color="auto"/>
                        <w:left w:val="none" w:sz="0" w:space="0" w:color="auto"/>
                        <w:bottom w:val="none" w:sz="0" w:space="0" w:color="auto"/>
                        <w:right w:val="none" w:sz="0" w:space="0" w:color="auto"/>
                      </w:divBdr>
                    </w:div>
                    <w:div w:id="560290237">
                      <w:marLeft w:val="0"/>
                      <w:marRight w:val="0"/>
                      <w:marTop w:val="0"/>
                      <w:marBottom w:val="0"/>
                      <w:divBdr>
                        <w:top w:val="none" w:sz="0" w:space="0" w:color="auto"/>
                        <w:left w:val="none" w:sz="0" w:space="0" w:color="auto"/>
                        <w:bottom w:val="none" w:sz="0" w:space="0" w:color="auto"/>
                        <w:right w:val="none" w:sz="0" w:space="0" w:color="auto"/>
                      </w:divBdr>
                    </w:div>
                    <w:div w:id="1671714753">
                      <w:marLeft w:val="0"/>
                      <w:marRight w:val="0"/>
                      <w:marTop w:val="0"/>
                      <w:marBottom w:val="0"/>
                      <w:divBdr>
                        <w:top w:val="none" w:sz="0" w:space="0" w:color="auto"/>
                        <w:left w:val="none" w:sz="0" w:space="0" w:color="auto"/>
                        <w:bottom w:val="none" w:sz="0" w:space="0" w:color="auto"/>
                        <w:right w:val="none" w:sz="0" w:space="0" w:color="auto"/>
                      </w:divBdr>
                    </w:div>
                    <w:div w:id="20774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27069">
              <w:marLeft w:val="0"/>
              <w:marRight w:val="0"/>
              <w:marTop w:val="0"/>
              <w:marBottom w:val="0"/>
              <w:divBdr>
                <w:top w:val="none" w:sz="0" w:space="0" w:color="auto"/>
                <w:left w:val="none" w:sz="0" w:space="0" w:color="auto"/>
                <w:bottom w:val="none" w:sz="0" w:space="0" w:color="auto"/>
                <w:right w:val="none" w:sz="0" w:space="0" w:color="auto"/>
              </w:divBdr>
              <w:divsChild>
                <w:div w:id="1002199132">
                  <w:marLeft w:val="0"/>
                  <w:marRight w:val="0"/>
                  <w:marTop w:val="0"/>
                  <w:marBottom w:val="0"/>
                  <w:divBdr>
                    <w:top w:val="none" w:sz="0" w:space="0" w:color="auto"/>
                    <w:left w:val="none" w:sz="0" w:space="0" w:color="auto"/>
                    <w:bottom w:val="none" w:sz="0" w:space="0" w:color="auto"/>
                    <w:right w:val="none" w:sz="0" w:space="0" w:color="auto"/>
                  </w:divBdr>
                  <w:divsChild>
                    <w:div w:id="218824935">
                      <w:marLeft w:val="0"/>
                      <w:marRight w:val="0"/>
                      <w:marTop w:val="0"/>
                      <w:marBottom w:val="0"/>
                      <w:divBdr>
                        <w:top w:val="none" w:sz="0" w:space="0" w:color="auto"/>
                        <w:left w:val="none" w:sz="0" w:space="0" w:color="auto"/>
                        <w:bottom w:val="none" w:sz="0" w:space="0" w:color="auto"/>
                        <w:right w:val="none" w:sz="0" w:space="0" w:color="auto"/>
                      </w:divBdr>
                    </w:div>
                    <w:div w:id="862864167">
                      <w:marLeft w:val="0"/>
                      <w:marRight w:val="0"/>
                      <w:marTop w:val="0"/>
                      <w:marBottom w:val="0"/>
                      <w:divBdr>
                        <w:top w:val="none" w:sz="0" w:space="0" w:color="auto"/>
                        <w:left w:val="none" w:sz="0" w:space="0" w:color="auto"/>
                        <w:bottom w:val="none" w:sz="0" w:space="0" w:color="auto"/>
                        <w:right w:val="none" w:sz="0" w:space="0" w:color="auto"/>
                      </w:divBdr>
                    </w:div>
                    <w:div w:id="1118642870">
                      <w:marLeft w:val="0"/>
                      <w:marRight w:val="0"/>
                      <w:marTop w:val="0"/>
                      <w:marBottom w:val="0"/>
                      <w:divBdr>
                        <w:top w:val="none" w:sz="0" w:space="0" w:color="auto"/>
                        <w:left w:val="none" w:sz="0" w:space="0" w:color="auto"/>
                        <w:bottom w:val="none" w:sz="0" w:space="0" w:color="auto"/>
                        <w:right w:val="none" w:sz="0" w:space="0" w:color="auto"/>
                      </w:divBdr>
                    </w:div>
                    <w:div w:id="1827159106">
                      <w:marLeft w:val="0"/>
                      <w:marRight w:val="0"/>
                      <w:marTop w:val="0"/>
                      <w:marBottom w:val="0"/>
                      <w:divBdr>
                        <w:top w:val="none" w:sz="0" w:space="0" w:color="auto"/>
                        <w:left w:val="none" w:sz="0" w:space="0" w:color="auto"/>
                        <w:bottom w:val="none" w:sz="0" w:space="0" w:color="auto"/>
                        <w:right w:val="none" w:sz="0" w:space="0" w:color="auto"/>
                      </w:divBdr>
                    </w:div>
                  </w:divsChild>
                </w:div>
                <w:div w:id="1396395730">
                  <w:marLeft w:val="0"/>
                  <w:marRight w:val="0"/>
                  <w:marTop w:val="0"/>
                  <w:marBottom w:val="0"/>
                  <w:divBdr>
                    <w:top w:val="none" w:sz="0" w:space="0" w:color="auto"/>
                    <w:left w:val="none" w:sz="0" w:space="0" w:color="auto"/>
                    <w:bottom w:val="none" w:sz="0" w:space="0" w:color="auto"/>
                    <w:right w:val="none" w:sz="0" w:space="0" w:color="auto"/>
                  </w:divBdr>
                  <w:divsChild>
                    <w:div w:id="700474010">
                      <w:marLeft w:val="0"/>
                      <w:marRight w:val="0"/>
                      <w:marTop w:val="0"/>
                      <w:marBottom w:val="0"/>
                      <w:divBdr>
                        <w:top w:val="none" w:sz="0" w:space="0" w:color="auto"/>
                        <w:left w:val="none" w:sz="0" w:space="0" w:color="auto"/>
                        <w:bottom w:val="none" w:sz="0" w:space="0" w:color="auto"/>
                        <w:right w:val="none" w:sz="0" w:space="0" w:color="auto"/>
                      </w:divBdr>
                    </w:div>
                    <w:div w:id="1129133265">
                      <w:marLeft w:val="0"/>
                      <w:marRight w:val="0"/>
                      <w:marTop w:val="0"/>
                      <w:marBottom w:val="0"/>
                      <w:divBdr>
                        <w:top w:val="none" w:sz="0" w:space="0" w:color="auto"/>
                        <w:left w:val="none" w:sz="0" w:space="0" w:color="auto"/>
                        <w:bottom w:val="none" w:sz="0" w:space="0" w:color="auto"/>
                        <w:right w:val="none" w:sz="0" w:space="0" w:color="auto"/>
                      </w:divBdr>
                    </w:div>
                    <w:div w:id="1457673177">
                      <w:marLeft w:val="0"/>
                      <w:marRight w:val="0"/>
                      <w:marTop w:val="0"/>
                      <w:marBottom w:val="0"/>
                      <w:divBdr>
                        <w:top w:val="none" w:sz="0" w:space="0" w:color="auto"/>
                        <w:left w:val="none" w:sz="0" w:space="0" w:color="auto"/>
                        <w:bottom w:val="none" w:sz="0" w:space="0" w:color="auto"/>
                        <w:right w:val="none" w:sz="0" w:space="0" w:color="auto"/>
                      </w:divBdr>
                    </w:div>
                    <w:div w:id="14923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268979">
      <w:bodyDiv w:val="1"/>
      <w:marLeft w:val="0"/>
      <w:marRight w:val="0"/>
      <w:marTop w:val="0"/>
      <w:marBottom w:val="0"/>
      <w:divBdr>
        <w:top w:val="none" w:sz="0" w:space="0" w:color="auto"/>
        <w:left w:val="none" w:sz="0" w:space="0" w:color="auto"/>
        <w:bottom w:val="none" w:sz="0" w:space="0" w:color="auto"/>
        <w:right w:val="none" w:sz="0" w:space="0" w:color="auto"/>
      </w:divBdr>
    </w:div>
    <w:div w:id="586496518">
      <w:bodyDiv w:val="1"/>
      <w:marLeft w:val="0"/>
      <w:marRight w:val="0"/>
      <w:marTop w:val="0"/>
      <w:marBottom w:val="0"/>
      <w:divBdr>
        <w:top w:val="none" w:sz="0" w:space="0" w:color="auto"/>
        <w:left w:val="none" w:sz="0" w:space="0" w:color="auto"/>
        <w:bottom w:val="none" w:sz="0" w:space="0" w:color="auto"/>
        <w:right w:val="none" w:sz="0" w:space="0" w:color="auto"/>
      </w:divBdr>
    </w:div>
    <w:div w:id="737089733">
      <w:bodyDiv w:val="1"/>
      <w:marLeft w:val="0"/>
      <w:marRight w:val="0"/>
      <w:marTop w:val="0"/>
      <w:marBottom w:val="0"/>
      <w:divBdr>
        <w:top w:val="none" w:sz="0" w:space="0" w:color="auto"/>
        <w:left w:val="none" w:sz="0" w:space="0" w:color="auto"/>
        <w:bottom w:val="none" w:sz="0" w:space="0" w:color="auto"/>
        <w:right w:val="none" w:sz="0" w:space="0" w:color="auto"/>
      </w:divBdr>
    </w:div>
    <w:div w:id="778918102">
      <w:bodyDiv w:val="1"/>
      <w:marLeft w:val="0"/>
      <w:marRight w:val="0"/>
      <w:marTop w:val="0"/>
      <w:marBottom w:val="0"/>
      <w:divBdr>
        <w:top w:val="none" w:sz="0" w:space="0" w:color="auto"/>
        <w:left w:val="none" w:sz="0" w:space="0" w:color="auto"/>
        <w:bottom w:val="none" w:sz="0" w:space="0" w:color="auto"/>
        <w:right w:val="none" w:sz="0" w:space="0" w:color="auto"/>
      </w:divBdr>
    </w:div>
    <w:div w:id="842818118">
      <w:bodyDiv w:val="1"/>
      <w:marLeft w:val="0"/>
      <w:marRight w:val="0"/>
      <w:marTop w:val="0"/>
      <w:marBottom w:val="0"/>
      <w:divBdr>
        <w:top w:val="none" w:sz="0" w:space="0" w:color="auto"/>
        <w:left w:val="none" w:sz="0" w:space="0" w:color="auto"/>
        <w:bottom w:val="none" w:sz="0" w:space="0" w:color="auto"/>
        <w:right w:val="none" w:sz="0" w:space="0" w:color="auto"/>
      </w:divBdr>
    </w:div>
    <w:div w:id="1161236053">
      <w:bodyDiv w:val="1"/>
      <w:marLeft w:val="0"/>
      <w:marRight w:val="0"/>
      <w:marTop w:val="0"/>
      <w:marBottom w:val="0"/>
      <w:divBdr>
        <w:top w:val="none" w:sz="0" w:space="0" w:color="auto"/>
        <w:left w:val="none" w:sz="0" w:space="0" w:color="auto"/>
        <w:bottom w:val="none" w:sz="0" w:space="0" w:color="auto"/>
        <w:right w:val="none" w:sz="0" w:space="0" w:color="auto"/>
      </w:divBdr>
    </w:div>
    <w:div w:id="1260867262">
      <w:bodyDiv w:val="1"/>
      <w:marLeft w:val="0"/>
      <w:marRight w:val="0"/>
      <w:marTop w:val="0"/>
      <w:marBottom w:val="0"/>
      <w:divBdr>
        <w:top w:val="none" w:sz="0" w:space="0" w:color="auto"/>
        <w:left w:val="none" w:sz="0" w:space="0" w:color="auto"/>
        <w:bottom w:val="none" w:sz="0" w:space="0" w:color="auto"/>
        <w:right w:val="none" w:sz="0" w:space="0" w:color="auto"/>
      </w:divBdr>
    </w:div>
    <w:div w:id="1339385246">
      <w:bodyDiv w:val="1"/>
      <w:marLeft w:val="0"/>
      <w:marRight w:val="0"/>
      <w:marTop w:val="0"/>
      <w:marBottom w:val="0"/>
      <w:divBdr>
        <w:top w:val="none" w:sz="0" w:space="0" w:color="auto"/>
        <w:left w:val="none" w:sz="0" w:space="0" w:color="auto"/>
        <w:bottom w:val="none" w:sz="0" w:space="0" w:color="auto"/>
        <w:right w:val="none" w:sz="0" w:space="0" w:color="auto"/>
      </w:divBdr>
    </w:div>
    <w:div w:id="1527711346">
      <w:bodyDiv w:val="1"/>
      <w:marLeft w:val="0"/>
      <w:marRight w:val="0"/>
      <w:marTop w:val="0"/>
      <w:marBottom w:val="0"/>
      <w:divBdr>
        <w:top w:val="none" w:sz="0" w:space="0" w:color="auto"/>
        <w:left w:val="none" w:sz="0" w:space="0" w:color="auto"/>
        <w:bottom w:val="none" w:sz="0" w:space="0" w:color="auto"/>
        <w:right w:val="none" w:sz="0" w:space="0" w:color="auto"/>
      </w:divBdr>
    </w:div>
    <w:div w:id="1558980160">
      <w:bodyDiv w:val="1"/>
      <w:marLeft w:val="0"/>
      <w:marRight w:val="0"/>
      <w:marTop w:val="0"/>
      <w:marBottom w:val="0"/>
      <w:divBdr>
        <w:top w:val="none" w:sz="0" w:space="0" w:color="auto"/>
        <w:left w:val="none" w:sz="0" w:space="0" w:color="auto"/>
        <w:bottom w:val="none" w:sz="0" w:space="0" w:color="auto"/>
        <w:right w:val="none" w:sz="0" w:space="0" w:color="auto"/>
      </w:divBdr>
    </w:div>
    <w:div w:id="1581060923">
      <w:bodyDiv w:val="1"/>
      <w:marLeft w:val="0"/>
      <w:marRight w:val="0"/>
      <w:marTop w:val="0"/>
      <w:marBottom w:val="0"/>
      <w:divBdr>
        <w:top w:val="none" w:sz="0" w:space="0" w:color="auto"/>
        <w:left w:val="none" w:sz="0" w:space="0" w:color="auto"/>
        <w:bottom w:val="none" w:sz="0" w:space="0" w:color="auto"/>
        <w:right w:val="none" w:sz="0" w:space="0" w:color="auto"/>
      </w:divBdr>
    </w:div>
    <w:div w:id="214715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il@konsens.d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87F0-31AB-48D4-9F78-A4536351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5166</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Pressemitteilung</vt:lpstr>
    </vt:vector>
  </TitlesOfParts>
  <Company>KONSENS</Company>
  <LinksUpToDate>false</LinksUpToDate>
  <CharactersWithSpaces>5975</CharactersWithSpaces>
  <SharedDoc>false</SharedDoc>
  <HLinks>
    <vt:vector size="12" baseType="variant">
      <vt:variant>
        <vt:i4>3342386</vt:i4>
      </vt:variant>
      <vt:variant>
        <vt:i4>3</vt:i4>
      </vt:variant>
      <vt:variant>
        <vt:i4>0</vt:i4>
      </vt:variant>
      <vt:variant>
        <vt:i4>5</vt:i4>
      </vt:variant>
      <vt:variant>
        <vt:lpwstr>http://www.technocompound.com/</vt:lpwstr>
      </vt:variant>
      <vt:variant>
        <vt:lpwstr/>
      </vt:variant>
      <vt:variant>
        <vt:i4>2031664</vt:i4>
      </vt:variant>
      <vt:variant>
        <vt:i4>0</vt:i4>
      </vt:variant>
      <vt:variant>
        <vt:i4>0</vt:i4>
      </vt:variant>
      <vt:variant>
        <vt:i4>5</vt:i4>
      </vt:variant>
      <vt:variant>
        <vt:lpwstr>mailto:mail@konsens.de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BW</dc:creator>
  <cp:keywords/>
  <dc:description/>
  <cp:lastModifiedBy>Jörg Wolters</cp:lastModifiedBy>
  <cp:revision>3</cp:revision>
  <cp:lastPrinted>2009-03-23T15:46:00Z</cp:lastPrinted>
  <dcterms:created xsi:type="dcterms:W3CDTF">2026-10-08T13:42:00Z</dcterms:created>
  <dcterms:modified xsi:type="dcterms:W3CDTF">2026-10-08T14:12:00Z</dcterms:modified>
</cp:coreProperties>
</file>