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EE5F87" w14:textId="77777777" w:rsidR="00E873EA" w:rsidRPr="0032169D" w:rsidRDefault="00287F57" w:rsidP="0032169D">
      <w:pPr>
        <w:spacing w:after="100" w:afterAutospacing="1" w:line="240" w:lineRule="auto"/>
        <w:rPr>
          <w:rFonts w:asciiTheme="minorBidi" w:hAnsiTheme="minorBidi" w:cstheme="minorBidi"/>
          <w:b/>
          <w:sz w:val="40"/>
          <w:szCs w:val="40"/>
        </w:rPr>
      </w:pPr>
      <w:r w:rsidRPr="0032169D">
        <w:rPr>
          <w:rFonts w:asciiTheme="minorBidi" w:hAnsiTheme="minorBidi"/>
          <w:b/>
          <w:bCs/>
          <w:sz w:val="32"/>
          <w:szCs w:val="32"/>
        </w:rPr>
        <w:t>Inversión en crecimiento, eficiencia y sostenibilidad:</w:t>
      </w:r>
      <w:r w:rsidRPr="0032169D">
        <w:rPr>
          <w:rFonts w:asciiTheme="minorBidi" w:hAnsiTheme="minorBidi"/>
          <w:sz w:val="32"/>
          <w:szCs w:val="32"/>
        </w:rPr>
        <w:br/>
      </w:r>
      <w:r w:rsidRPr="0032169D">
        <w:rPr>
          <w:rFonts w:asciiTheme="minorBidi" w:hAnsiTheme="minorBidi"/>
          <w:b/>
          <w:bCs/>
          <w:sz w:val="40"/>
          <w:szCs w:val="40"/>
        </w:rPr>
        <w:t>TechnoCompound amplía la capacidad de producción de fibra de vidrio larga en 4800 toneladas al año</w:t>
      </w:r>
    </w:p>
    <w:p w14:paraId="2CD38BD2" w14:textId="77777777" w:rsidR="00FA77F0" w:rsidRPr="0032169D" w:rsidRDefault="00287F57" w:rsidP="0032169D">
      <w:pPr>
        <w:spacing w:before="100" w:beforeAutospacing="1" w:after="100" w:afterAutospacing="1" w:line="360" w:lineRule="exact"/>
        <w:rPr>
          <w:rFonts w:cs="Arial"/>
          <w:color w:val="auto"/>
        </w:rPr>
      </w:pPr>
      <w:r w:rsidRPr="0032169D">
        <w:rPr>
          <w:rFonts w:cs="Arial"/>
          <w:color w:val="auto"/>
        </w:rPr>
        <w:t>Bad Sobernheim (Alemania), septiembre de 2026. TechnoCompound responde a la creciente demanda de compuestos reforzados con fibra de vidrio larga de alto rendimiento y, al mismo tiempo, potencia su gama de productos sostenibles. La ampliación de la capacidad en la planta de Bad Sobernheim se lleva a cabo sin tener que realizar cambios significativos en los procesos y sin alterar el diseño técnico general de la producción actual. Está previsto que la nueva línea de producción entre en funcionamiento, a más tardar, en el segundo trimestre de 2027.</w:t>
      </w:r>
    </w:p>
    <w:p w14:paraId="4AA7BF98" w14:textId="1DDABE87" w:rsidR="00FA77F0" w:rsidRPr="0032169D" w:rsidRDefault="00287F57" w:rsidP="0032169D">
      <w:pPr>
        <w:spacing w:before="100" w:beforeAutospacing="1" w:after="100" w:afterAutospacing="1" w:line="360" w:lineRule="exact"/>
        <w:rPr>
          <w:rFonts w:cs="Arial"/>
          <w:color w:val="auto"/>
        </w:rPr>
      </w:pPr>
      <w:r w:rsidRPr="0032169D">
        <w:rPr>
          <w:rFonts w:cs="Arial"/>
          <w:color w:val="auto"/>
        </w:rPr>
        <w:t xml:space="preserve">La empresa ya cuenta con compuestos con fibra de vidrio larga sostenibles con un contenido de PCR de entre el 25 % y el 60 %. Estos cumplen o incluso superan los futuros requisitos del Reglamento de la UE sobre vehículos al final de su vida útil (ELV-R) y ofrecen soluciones óptimas, especialmente para los componentes estructurales del habitáculo del vehículo. </w:t>
      </w:r>
    </w:p>
    <w:p w14:paraId="206E0EED" w14:textId="7DB911FF" w:rsidR="00FA77F0" w:rsidRPr="0032169D" w:rsidRDefault="00287F57" w:rsidP="0032169D">
      <w:pPr>
        <w:spacing w:before="100" w:beforeAutospacing="1" w:after="100" w:afterAutospacing="1" w:line="360" w:lineRule="exact"/>
        <w:rPr>
          <w:rFonts w:cs="Arial"/>
          <w:color w:val="auto"/>
        </w:rPr>
      </w:pPr>
      <w:r w:rsidRPr="0032169D">
        <w:rPr>
          <w:rFonts w:cs="Arial"/>
          <w:color w:val="auto"/>
        </w:rPr>
        <w:t xml:space="preserve">El </w:t>
      </w:r>
      <w:r w:rsidR="0032169D" w:rsidRPr="0032169D">
        <w:rPr>
          <w:rFonts w:cs="Arial"/>
          <w:color w:val="auto"/>
        </w:rPr>
        <w:t>director de ventas y marketing</w:t>
      </w:r>
      <w:r w:rsidRPr="0032169D">
        <w:rPr>
          <w:rFonts w:cs="Arial"/>
          <w:color w:val="auto"/>
        </w:rPr>
        <w:t>, Rifat Erden, declara al respecto: «Con la ampliación de nuestras capacidades de producción en el ámbito de la fibra de vidrio larga, estamos invirtiendo de forma específica en el futuro de TechnoCompound. «El aumento de la capacidad en 4800 toneladas anuales es nuestra respuesta ante una demanda cada vez mayor de compuestos reforzados con fibra de vidrio larga de alto rendimiento».</w:t>
      </w:r>
    </w:p>
    <w:p w14:paraId="393F525F" w14:textId="77777777" w:rsidR="00E873EA" w:rsidRPr="0032169D" w:rsidRDefault="00287F57" w:rsidP="0032169D">
      <w:pPr>
        <w:spacing w:before="100" w:beforeAutospacing="1" w:after="100" w:afterAutospacing="1" w:line="360" w:lineRule="exact"/>
        <w:rPr>
          <w:rFonts w:cs="Arial"/>
          <w:color w:val="auto"/>
        </w:rPr>
      </w:pPr>
      <w:r w:rsidRPr="0032169D">
        <w:rPr>
          <w:rFonts w:cs="Arial"/>
          <w:color w:val="auto"/>
        </w:rPr>
        <w:t>«En este aumento de la capacidad, TechnoCompound también concede especial importancia a la eficiencia y la sostenibilidad», añade el director general Dirk Breitbach. «La nueva instalación funciona de forma energéticamente eficiente y cumple con las normas medioambientales y tecnológicas vigentes. «Con esta ampliación, reafirmamos nuestro compromiso de ofrecer soluciones innovadoras en materiales para aplicaciones exigentes y de crecer a largo plazo como socio de confianza de nuestros clientes».</w:t>
      </w:r>
    </w:p>
    <w:p w14:paraId="4D47C9CC" w14:textId="77777777" w:rsidR="00FA77F0" w:rsidRPr="0032169D" w:rsidRDefault="00287F57" w:rsidP="00075F12">
      <w:pPr>
        <w:spacing w:before="240" w:after="100" w:afterAutospacing="1" w:line="240" w:lineRule="auto"/>
        <w:rPr>
          <w:rFonts w:cs="Arial"/>
          <w:color w:val="auto"/>
        </w:rPr>
      </w:pPr>
      <w:r w:rsidRPr="0032169D">
        <w:rPr>
          <w:rFonts w:eastAsiaTheme="minorHAnsi" w:cstheme="minorBidi"/>
          <w:noProof/>
          <w:color w:val="auto"/>
          <w:sz w:val="20"/>
          <w:szCs w:val="22"/>
        </w:rPr>
        <w:lastRenderedPageBreak/>
        <w:drawing>
          <wp:inline distT="0" distB="0" distL="0" distR="0" wp14:anchorId="16C25674" wp14:editId="189A1D54">
            <wp:extent cx="5400000" cy="2545200"/>
            <wp:effectExtent l="0" t="0" r="0" b="762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a:picLocks noChangeAspect="1"/>
                    </pic:cNvPicPr>
                  </pic:nvPicPr>
                  <pic:blipFill>
                    <a:blip r:embed="rId8"/>
                    <a:stretch>
                      <a:fillRect/>
                    </a:stretch>
                  </pic:blipFill>
                  <pic:spPr>
                    <a:xfrm>
                      <a:off x="0" y="0"/>
                      <a:ext cx="5400000" cy="2545200"/>
                    </a:xfrm>
                    <a:prstGeom prst="rect">
                      <a:avLst/>
                    </a:prstGeom>
                  </pic:spPr>
                </pic:pic>
              </a:graphicData>
            </a:graphic>
          </wp:inline>
        </w:drawing>
      </w:r>
    </w:p>
    <w:p w14:paraId="5615754B" w14:textId="77777777" w:rsidR="005361C9" w:rsidRPr="00075F12" w:rsidRDefault="00287F57" w:rsidP="00075F12">
      <w:pPr>
        <w:spacing w:before="120" w:line="259" w:lineRule="auto"/>
        <w:rPr>
          <w:rFonts w:eastAsiaTheme="minorHAnsi" w:cstheme="minorBidi"/>
          <w:i/>
          <w:iCs/>
          <w:color w:val="auto"/>
          <w:sz w:val="20"/>
          <w:szCs w:val="22"/>
        </w:rPr>
      </w:pPr>
      <w:r w:rsidRPr="00075F12">
        <w:rPr>
          <w:rFonts w:eastAsiaTheme="minorHAnsi" w:cstheme="minorBidi"/>
          <w:i/>
          <w:iCs/>
          <w:color w:val="auto"/>
          <w:sz w:val="20"/>
          <w:szCs w:val="22"/>
        </w:rPr>
        <w:t>TechnoCompound, planta de producción en Bad Sobernheim © TechnoCompound</w:t>
      </w:r>
    </w:p>
    <w:p w14:paraId="1041A474" w14:textId="77777777" w:rsidR="00FA77F0" w:rsidRPr="0032169D" w:rsidRDefault="00287F57" w:rsidP="00075F12">
      <w:pPr>
        <w:spacing w:after="160" w:line="259" w:lineRule="auto"/>
        <w:rPr>
          <w:rFonts w:eastAsiaTheme="minorHAnsi" w:cstheme="minorBidi"/>
          <w:color w:val="auto"/>
          <w:sz w:val="20"/>
          <w:szCs w:val="22"/>
        </w:rPr>
      </w:pPr>
      <w:r w:rsidRPr="0032169D">
        <w:rPr>
          <w:rFonts w:eastAsiaTheme="minorHAnsi" w:cstheme="minorBidi"/>
          <w:noProof/>
          <w:color w:val="auto"/>
          <w:sz w:val="20"/>
          <w:szCs w:val="22"/>
        </w:rPr>
        <w:drawing>
          <wp:inline distT="0" distB="0" distL="0" distR="0" wp14:anchorId="6FAAF5E7" wp14:editId="0F9D1778">
            <wp:extent cx="5400000" cy="4795200"/>
            <wp:effectExtent l="0" t="0" r="0" b="571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t="5173" b="35749"/>
                    <a:stretch>
                      <a:fillRect/>
                    </a:stretch>
                  </pic:blipFill>
                  <pic:spPr bwMode="auto">
                    <a:xfrm>
                      <a:off x="0" y="0"/>
                      <a:ext cx="5400000" cy="4795200"/>
                    </a:xfrm>
                    <a:prstGeom prst="rect">
                      <a:avLst/>
                    </a:prstGeom>
                    <a:noFill/>
                    <a:ln>
                      <a:noFill/>
                    </a:ln>
                    <a:extLst>
                      <a:ext uri="{53640926-AAD7-44D8-BBD7-CCE9431645EC}">
                        <a14:shadowObscured xmlns:a14="http://schemas.microsoft.com/office/drawing/2010/main"/>
                      </a:ext>
                    </a:extLst>
                  </pic:spPr>
                </pic:pic>
              </a:graphicData>
            </a:graphic>
          </wp:inline>
        </w:drawing>
      </w:r>
    </w:p>
    <w:p w14:paraId="414EA053" w14:textId="4D8D1FFF" w:rsidR="005361C9" w:rsidRPr="0032169D" w:rsidRDefault="00287F57" w:rsidP="00075F12">
      <w:pPr>
        <w:spacing w:before="120" w:line="259" w:lineRule="auto"/>
        <w:rPr>
          <w:rFonts w:eastAsiaTheme="minorHAnsi" w:cstheme="minorBidi"/>
          <w:i/>
          <w:color w:val="auto"/>
          <w:sz w:val="20"/>
          <w:szCs w:val="22"/>
        </w:rPr>
      </w:pPr>
      <w:r w:rsidRPr="0032169D">
        <w:rPr>
          <w:rFonts w:eastAsiaTheme="minorHAnsi" w:cstheme="minorBidi"/>
          <w:i/>
          <w:iCs/>
          <w:color w:val="auto"/>
          <w:sz w:val="20"/>
          <w:szCs w:val="22"/>
        </w:rPr>
        <w:t xml:space="preserve">Rifat Erden, director de </w:t>
      </w:r>
      <w:r w:rsidR="0032169D" w:rsidRPr="0032169D">
        <w:rPr>
          <w:rFonts w:eastAsiaTheme="minorHAnsi" w:cstheme="minorBidi"/>
          <w:i/>
          <w:iCs/>
          <w:color w:val="auto"/>
          <w:sz w:val="20"/>
          <w:szCs w:val="22"/>
        </w:rPr>
        <w:t>ventas y marketing</w:t>
      </w:r>
      <w:r w:rsidRPr="0032169D">
        <w:rPr>
          <w:rFonts w:eastAsiaTheme="minorHAnsi" w:cstheme="minorBidi"/>
          <w:i/>
          <w:iCs/>
          <w:color w:val="auto"/>
          <w:sz w:val="20"/>
          <w:szCs w:val="22"/>
        </w:rPr>
        <w:t>, a la izquierda, y Dirk Breitbach, director general de TechnoCompound, a la derecha ©</w:t>
      </w:r>
      <w:r w:rsidRPr="0032169D">
        <w:rPr>
          <w:rFonts w:eastAsiaTheme="minorHAnsi" w:cstheme="minorBidi"/>
          <w:color w:val="auto"/>
          <w:sz w:val="20"/>
          <w:szCs w:val="22"/>
        </w:rPr>
        <w:t xml:space="preserve"> </w:t>
      </w:r>
      <w:r w:rsidRPr="0032169D">
        <w:rPr>
          <w:rFonts w:eastAsiaTheme="minorHAnsi" w:cstheme="minorBidi"/>
          <w:i/>
          <w:iCs/>
          <w:color w:val="auto"/>
          <w:sz w:val="20"/>
          <w:szCs w:val="22"/>
        </w:rPr>
        <w:t>TechnoCompound</w:t>
      </w:r>
    </w:p>
    <w:p w14:paraId="0069741C" w14:textId="77777777" w:rsidR="00FA77F0" w:rsidRPr="0032169D" w:rsidRDefault="00287F57" w:rsidP="00FA77F0">
      <w:pPr>
        <w:spacing w:before="0" w:after="160" w:line="259" w:lineRule="auto"/>
        <w:rPr>
          <w:rFonts w:eastAsiaTheme="minorHAnsi" w:cstheme="minorBidi"/>
          <w:color w:val="auto"/>
          <w:sz w:val="20"/>
          <w:szCs w:val="22"/>
        </w:rPr>
      </w:pPr>
      <w:r w:rsidRPr="0032169D">
        <w:rPr>
          <w:rFonts w:eastAsiaTheme="minorHAnsi" w:cstheme="minorBidi"/>
          <w:noProof/>
          <w:color w:val="auto"/>
          <w:sz w:val="20"/>
          <w:szCs w:val="22"/>
        </w:rPr>
        <w:lastRenderedPageBreak/>
        <w:drawing>
          <wp:inline distT="0" distB="0" distL="0" distR="0" wp14:anchorId="3966772F" wp14:editId="2AF70D8F">
            <wp:extent cx="5400000" cy="3600000"/>
            <wp:effectExtent l="0" t="0" r="0" b="635"/>
            <wp:docPr id="185019246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0192462" name="Grafik 185019246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400000" cy="3600000"/>
                    </a:xfrm>
                    <a:prstGeom prst="rect">
                      <a:avLst/>
                    </a:prstGeom>
                  </pic:spPr>
                </pic:pic>
              </a:graphicData>
            </a:graphic>
          </wp:inline>
        </w:drawing>
      </w:r>
    </w:p>
    <w:p w14:paraId="6898157C" w14:textId="77777777" w:rsidR="005361C9" w:rsidRPr="0032169D" w:rsidRDefault="00287F57" w:rsidP="00075F12">
      <w:pPr>
        <w:spacing w:before="120" w:line="259" w:lineRule="auto"/>
        <w:rPr>
          <w:rFonts w:eastAsiaTheme="minorHAnsi" w:cstheme="minorBidi"/>
          <w:i/>
          <w:color w:val="auto"/>
          <w:sz w:val="20"/>
          <w:szCs w:val="22"/>
        </w:rPr>
      </w:pPr>
      <w:r w:rsidRPr="0032169D">
        <w:rPr>
          <w:rFonts w:eastAsiaTheme="minorHAnsi" w:cstheme="minorBidi"/>
          <w:i/>
          <w:iCs/>
          <w:color w:val="auto"/>
          <w:sz w:val="20"/>
          <w:szCs w:val="22"/>
        </w:rPr>
        <w:t>Hilos sinfín de fibra de vidrio como materia prima para la fabricación de termoplásticos reforzados con fibra de vidrio larga © TechnoCompound</w:t>
      </w:r>
    </w:p>
    <w:p w14:paraId="2D7D228C" w14:textId="77777777" w:rsidR="00FA77F0" w:rsidRPr="0032169D" w:rsidRDefault="00287F57" w:rsidP="00FA77F0">
      <w:pPr>
        <w:spacing w:before="120" w:beforeAutospacing="1" w:line="240" w:lineRule="auto"/>
        <w:jc w:val="both"/>
        <w:rPr>
          <w:rFonts w:cs="Arial"/>
          <w:color w:val="auto"/>
          <w:sz w:val="18"/>
          <w:szCs w:val="18"/>
        </w:rPr>
      </w:pPr>
      <w:r w:rsidRPr="0032169D">
        <w:rPr>
          <w:rFonts w:eastAsiaTheme="majorEastAsia" w:cs="Arial"/>
          <w:i/>
          <w:iCs/>
          <w:color w:val="auto"/>
          <w:sz w:val="18"/>
          <w:szCs w:val="18"/>
        </w:rPr>
        <w:t>TechnoCompound GmbH (www.technocompound.com), con sede en Bad Sobernheim y perteneciente al grupo Polymer (www.polymer-gruppe.de), es un proveedor líder en Europa de compuestos plásticos a medida y cuenta con una plantilla de 105 empleados. Dispone de instalaciones de producción de última generación y se dedica a la formulación, el acabado y la modificación de polímeros, con una capacidad de producción de 60 000 t/a para aplicaciones específicas de clientes. La amplia gama de productos de plásticos modificados funcionalmente abarca desde productos básicos hasta compuestos técnicos y elastómeros termoplásticos.</w:t>
      </w:r>
    </w:p>
    <w:p w14:paraId="34A31752" w14:textId="77777777" w:rsidR="00FA77F0" w:rsidRPr="0032169D" w:rsidRDefault="00287F57" w:rsidP="00FA77F0">
      <w:pPr>
        <w:spacing w:before="120" w:beforeAutospacing="1" w:line="240" w:lineRule="auto"/>
        <w:jc w:val="both"/>
        <w:rPr>
          <w:rFonts w:eastAsiaTheme="majorEastAsia" w:cs="Arial"/>
          <w:iCs/>
          <w:color w:val="auto"/>
          <w:sz w:val="18"/>
          <w:szCs w:val="18"/>
        </w:rPr>
      </w:pPr>
      <w:r w:rsidRPr="0032169D">
        <w:rPr>
          <w:rFonts w:eastAsiaTheme="majorEastAsia" w:cs="Arial"/>
          <w:i/>
          <w:iCs/>
          <w:color w:val="auto"/>
          <w:sz w:val="18"/>
          <w:szCs w:val="18"/>
        </w:rPr>
        <w:t xml:space="preserve">El principal ámbito de aplicación de estos plásticos es la industria del automóvil y sus proveedores. No obstante, también se ofrecen soluciones para los sectores de la logística, el embalaje y la construcción. Gracias a una estructura organizativa ágil y a sus modernas instalaciones, diseñadas para optimizar el rendimiento, TechnoCompound GmbH puede ofrecer sus productos a precios competitivos. La oferta de servicio integral incluye el asesoramiento técnico in situ, así como el desarrollo de compuestos personalizados y adaptados a una aplicación concreta. </w:t>
      </w:r>
    </w:p>
    <w:p w14:paraId="6FC2830C" w14:textId="77777777" w:rsidR="00FA77F0" w:rsidRPr="0032169D" w:rsidRDefault="00287F57" w:rsidP="00FA77F0">
      <w:pPr>
        <w:spacing w:before="120" w:beforeAutospacing="1" w:line="240" w:lineRule="auto"/>
        <w:jc w:val="both"/>
        <w:rPr>
          <w:rFonts w:eastAsiaTheme="majorEastAsia" w:cs="Arial"/>
          <w:iCs/>
          <w:color w:val="auto"/>
          <w:sz w:val="18"/>
          <w:szCs w:val="18"/>
        </w:rPr>
      </w:pPr>
      <w:r w:rsidRPr="0032169D">
        <w:rPr>
          <w:rFonts w:eastAsiaTheme="majorEastAsia" w:cs="Arial"/>
          <w:i/>
          <w:iCs/>
          <w:color w:val="auto"/>
          <w:sz w:val="18"/>
          <w:szCs w:val="18"/>
        </w:rPr>
        <w:t>El grupo Polymer, con sede en Bad Sobernheim, surgió de la empresa Polymer-Chemie GmbH, fundada en 1973, una empresa familiar independiente dedicada a la formulación, el acabado y la modificación de plásticos. Con flexibilidad y eficacia, presta cada vez más apoyo a sus clientes en todo el mundo y ofrece productos innovadores y a medida de la máxima calidad. En la actualidad, el grupo Polymer está formado por las empresas de compuestos Polymer-Chemie, Polymer-Chemie Rus, Sun Alloys Europe, TechnoCompound, PolyMIM y SoBiCo, y cuenta con más de 500 empleados.</w:t>
      </w:r>
    </w:p>
    <w:p w14:paraId="142A5088" w14:textId="77777777" w:rsidR="00FA77F0" w:rsidRPr="0032169D" w:rsidRDefault="00287F57" w:rsidP="00FA77F0">
      <w:pPr>
        <w:spacing w:before="240" w:after="160" w:line="240" w:lineRule="auto"/>
        <w:rPr>
          <w:rFonts w:eastAsiaTheme="minorHAnsi" w:cstheme="minorBidi"/>
          <w:color w:val="auto"/>
          <w:sz w:val="22"/>
          <w:szCs w:val="22"/>
          <w:u w:val="single"/>
        </w:rPr>
      </w:pPr>
      <w:r w:rsidRPr="0032169D">
        <w:rPr>
          <w:rFonts w:eastAsiaTheme="minorHAnsi" w:cstheme="minorBidi"/>
          <w:color w:val="auto"/>
          <w:sz w:val="22"/>
          <w:szCs w:val="22"/>
          <w:u w:val="single"/>
        </w:rPr>
        <w:t>Más información:</w:t>
      </w:r>
    </w:p>
    <w:p w14:paraId="36603DE9" w14:textId="77777777" w:rsidR="00FA77F0" w:rsidRPr="0032169D" w:rsidRDefault="00287F57" w:rsidP="00FA77F0">
      <w:pPr>
        <w:spacing w:before="0" w:after="120" w:line="240" w:lineRule="auto"/>
        <w:ind w:left="567"/>
        <w:rPr>
          <w:rFonts w:eastAsiaTheme="minorHAnsi" w:cstheme="minorBidi"/>
          <w:color w:val="auto"/>
          <w:sz w:val="22"/>
          <w:szCs w:val="22"/>
        </w:rPr>
      </w:pPr>
      <w:r w:rsidRPr="0032169D">
        <w:rPr>
          <w:rFonts w:eastAsiaTheme="minorHAnsi" w:cstheme="minorBidi"/>
          <w:color w:val="auto"/>
          <w:sz w:val="22"/>
          <w:szCs w:val="22"/>
        </w:rPr>
        <w:t>Rifat Erden, director de Ventas y Marketing de TechnoCompound GmbH,</w:t>
      </w:r>
      <w:r w:rsidRPr="0032169D">
        <w:rPr>
          <w:rFonts w:eastAsiaTheme="minorHAnsi" w:cstheme="minorBidi"/>
          <w:color w:val="auto"/>
          <w:sz w:val="22"/>
          <w:szCs w:val="22"/>
        </w:rPr>
        <w:br/>
        <w:t>Am Gefach, D-55566 Bad Sobernheim</w:t>
      </w:r>
      <w:r w:rsidRPr="0032169D">
        <w:rPr>
          <w:rFonts w:eastAsiaTheme="minorHAnsi" w:cstheme="minorBidi"/>
          <w:color w:val="auto"/>
          <w:sz w:val="22"/>
          <w:szCs w:val="22"/>
        </w:rPr>
        <w:br/>
        <w:t>Tel.: +49 (0) 67 51/8 56 05-472, rifat.erden@technocompound.com</w:t>
      </w:r>
    </w:p>
    <w:p w14:paraId="2533D895" w14:textId="77777777" w:rsidR="00FA77F0" w:rsidRPr="0032169D" w:rsidRDefault="00287F57" w:rsidP="00FA77F0">
      <w:pPr>
        <w:spacing w:before="0" w:after="160" w:line="240" w:lineRule="auto"/>
        <w:rPr>
          <w:rFonts w:eastAsiaTheme="minorHAnsi" w:cstheme="minorBidi"/>
          <w:color w:val="auto"/>
          <w:sz w:val="22"/>
          <w:szCs w:val="22"/>
          <w:u w:val="single"/>
        </w:rPr>
      </w:pPr>
      <w:r w:rsidRPr="0032169D">
        <w:rPr>
          <w:rFonts w:eastAsiaTheme="minorHAnsi" w:cstheme="minorBidi"/>
          <w:color w:val="auto"/>
          <w:sz w:val="22"/>
          <w:szCs w:val="22"/>
          <w:u w:val="single"/>
        </w:rPr>
        <w:t>Contacto editorial y ejemplares de muestra:</w:t>
      </w:r>
    </w:p>
    <w:p w14:paraId="510883CD" w14:textId="77777777" w:rsidR="00FA77F0" w:rsidRPr="0032169D" w:rsidRDefault="00287F57" w:rsidP="00FA77F0">
      <w:pPr>
        <w:spacing w:before="0" w:after="120" w:line="240" w:lineRule="auto"/>
        <w:ind w:left="567"/>
        <w:rPr>
          <w:rFonts w:eastAsiaTheme="minorHAnsi" w:cstheme="minorBidi"/>
          <w:color w:val="auto"/>
          <w:sz w:val="22"/>
          <w:szCs w:val="22"/>
        </w:rPr>
      </w:pPr>
      <w:r w:rsidRPr="0032169D">
        <w:rPr>
          <w:rFonts w:eastAsiaTheme="minorHAnsi" w:cstheme="minorBidi"/>
          <w:color w:val="auto"/>
          <w:sz w:val="22"/>
          <w:szCs w:val="22"/>
        </w:rPr>
        <w:t>Dr.-Ing. Jörg Wolters, KONSENS Public Relations GmbH &amp; Co. KG,</w:t>
      </w:r>
      <w:r w:rsidRPr="0032169D">
        <w:rPr>
          <w:rFonts w:eastAsiaTheme="minorHAnsi" w:cstheme="minorBidi"/>
          <w:color w:val="auto"/>
          <w:sz w:val="22"/>
          <w:szCs w:val="22"/>
        </w:rPr>
        <w:br/>
        <w:t>Hans-Böckler-Straße 20, D-63811 Stockstadt am Main (Alemania)</w:t>
      </w:r>
      <w:r w:rsidRPr="0032169D">
        <w:rPr>
          <w:rFonts w:eastAsiaTheme="minorHAnsi" w:cstheme="minorBidi"/>
          <w:color w:val="auto"/>
          <w:sz w:val="22"/>
          <w:szCs w:val="22"/>
        </w:rPr>
        <w:br/>
        <w:t xml:space="preserve">Tel.: +49 (0) 60 27/99 00 5-13, </w:t>
      </w:r>
      <w:hyperlink r:id="rId11" w:history="1">
        <w:r w:rsidR="00FA77F0" w:rsidRPr="0032169D">
          <w:rPr>
            <w:rFonts w:eastAsiaTheme="minorHAnsi" w:cstheme="minorBidi"/>
            <w:color w:val="auto"/>
            <w:sz w:val="22"/>
            <w:szCs w:val="22"/>
          </w:rPr>
          <w:t>mail@konsens.de</w:t>
        </w:r>
      </w:hyperlink>
    </w:p>
    <w:p w14:paraId="4EB527BD" w14:textId="77777777" w:rsidR="00FA77F0" w:rsidRPr="005361C9" w:rsidRDefault="00287F57" w:rsidP="005361C9">
      <w:pPr>
        <w:pBdr>
          <w:top w:val="single" w:sz="4" w:space="1" w:color="auto"/>
          <w:left w:val="single" w:sz="4" w:space="4" w:color="auto"/>
          <w:bottom w:val="single" w:sz="4" w:space="1" w:color="auto"/>
          <w:right w:val="single" w:sz="4" w:space="4" w:color="auto"/>
        </w:pBdr>
        <w:spacing w:before="0" w:after="160" w:line="240" w:lineRule="auto"/>
        <w:rPr>
          <w:rFonts w:eastAsiaTheme="minorHAnsi" w:cstheme="minorBidi"/>
          <w:color w:val="auto"/>
          <w:sz w:val="22"/>
          <w:szCs w:val="22"/>
        </w:rPr>
      </w:pPr>
      <w:r w:rsidRPr="0032169D">
        <w:rPr>
          <w:rFonts w:eastAsiaTheme="minorHAnsi" w:cstheme="minorBidi"/>
          <w:color w:val="auto"/>
          <w:sz w:val="22"/>
          <w:szCs w:val="22"/>
        </w:rPr>
        <w:t xml:space="preserve">Puede descargar el texto y la imagen de este comunicado de prensa en: </w:t>
      </w:r>
      <w:r w:rsidRPr="0032169D">
        <w:rPr>
          <w:rFonts w:eastAsiaTheme="minorHAnsi" w:cstheme="minorBidi"/>
          <w:b/>
          <w:bCs/>
          <w:i/>
          <w:iCs/>
          <w:color w:val="auto"/>
          <w:sz w:val="22"/>
          <w:szCs w:val="22"/>
        </w:rPr>
        <w:t>https://www.konsens.de/pressemitteilungen/technocompound-gmbh</w:t>
      </w:r>
    </w:p>
    <w:sectPr w:rsidR="00FA77F0" w:rsidRPr="005361C9">
      <w:headerReference w:type="default" r:id="rId12"/>
      <w:headerReference w:type="first" r:id="rId13"/>
      <w:pgSz w:w="11907" w:h="16840" w:code="9"/>
      <w:pgMar w:top="1276" w:right="1701" w:bottom="709" w:left="1701" w:header="624"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B43BBE" w14:textId="77777777" w:rsidR="009E79FC" w:rsidRPr="0032169D" w:rsidRDefault="009E79FC">
      <w:pPr>
        <w:spacing w:before="0" w:line="240" w:lineRule="auto"/>
      </w:pPr>
      <w:r w:rsidRPr="0032169D">
        <w:separator/>
      </w:r>
    </w:p>
  </w:endnote>
  <w:endnote w:type="continuationSeparator" w:id="0">
    <w:p w14:paraId="7837188A" w14:textId="77777777" w:rsidR="009E79FC" w:rsidRPr="0032169D" w:rsidRDefault="009E79FC">
      <w:pPr>
        <w:spacing w:before="0" w:line="240" w:lineRule="auto"/>
      </w:pPr>
      <w:r w:rsidRPr="0032169D">
        <w:continuationSeparator/>
      </w:r>
    </w:p>
  </w:endnote>
  <w:endnote w:type="continuationNotice" w:id="1">
    <w:p w14:paraId="6FB35116" w14:textId="77777777" w:rsidR="009E79FC" w:rsidRPr="0032169D" w:rsidRDefault="009E79FC">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A6B3CD" w14:textId="77777777" w:rsidR="009E79FC" w:rsidRPr="0032169D" w:rsidRDefault="009E79FC">
      <w:pPr>
        <w:spacing w:before="0" w:line="240" w:lineRule="auto"/>
      </w:pPr>
      <w:r w:rsidRPr="0032169D">
        <w:separator/>
      </w:r>
    </w:p>
  </w:footnote>
  <w:footnote w:type="continuationSeparator" w:id="0">
    <w:p w14:paraId="0E3DF3C6" w14:textId="77777777" w:rsidR="009E79FC" w:rsidRPr="0032169D" w:rsidRDefault="009E79FC">
      <w:pPr>
        <w:spacing w:before="0" w:line="240" w:lineRule="auto"/>
      </w:pPr>
      <w:r w:rsidRPr="0032169D">
        <w:continuationSeparator/>
      </w:r>
    </w:p>
  </w:footnote>
  <w:footnote w:type="continuationNotice" w:id="1">
    <w:p w14:paraId="7D6BE104" w14:textId="77777777" w:rsidR="009E79FC" w:rsidRPr="0032169D" w:rsidRDefault="009E79FC">
      <w:pPr>
        <w:spacing w:before="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8D9B1" w14:textId="77777777" w:rsidR="00F559DC" w:rsidRPr="0032169D" w:rsidRDefault="00287F57">
    <w:pPr>
      <w:pStyle w:val="Kopfzeile"/>
      <w:pBdr>
        <w:bottom w:val="single" w:sz="4" w:space="0" w:color="auto"/>
      </w:pBdr>
      <w:jc w:val="left"/>
    </w:pPr>
    <w:r w:rsidRPr="0032169D">
      <w:t xml:space="preserve">Página </w:t>
    </w:r>
    <w:r w:rsidRPr="0032169D">
      <w:fldChar w:fldCharType="begin"/>
    </w:r>
    <w:r w:rsidRPr="0032169D">
      <w:instrText xml:space="preserve"> PAGE </w:instrText>
    </w:r>
    <w:r w:rsidRPr="0032169D">
      <w:fldChar w:fldCharType="separate"/>
    </w:r>
    <w:r w:rsidRPr="0032169D">
      <w:t>3</w:t>
    </w:r>
    <w:r w:rsidRPr="0032169D">
      <w:fldChar w:fldCharType="end"/>
    </w:r>
    <w:r w:rsidRPr="0032169D">
      <w:t xml:space="preserve"> del comunicado de prensa </w:t>
    </w:r>
    <w:r w:rsidRPr="0032169D">
      <w:br/>
      <w:t>TechnoCompound amplía la capacidad de producción de fibra de vidrio larga en 4800 toneladas al año</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4809"/>
    </w:tblGrid>
    <w:tr w:rsidR="004514FF" w:rsidRPr="0032169D" w14:paraId="30BC1D66" w14:textId="77777777" w:rsidTr="0032169D">
      <w:tc>
        <w:tcPr>
          <w:tcW w:w="3686" w:type="dxa"/>
        </w:tcPr>
        <w:p w14:paraId="7CBDBE45" w14:textId="77777777" w:rsidR="00F559DC" w:rsidRPr="0032169D" w:rsidRDefault="00F559DC">
          <w:pPr>
            <w:pStyle w:val="Kopfzeile"/>
            <w:pBdr>
              <w:bottom w:val="none" w:sz="0" w:space="0" w:color="auto"/>
            </w:pBdr>
            <w:jc w:val="left"/>
            <w:rPr>
              <w:sz w:val="44"/>
              <w:szCs w:val="44"/>
            </w:rPr>
          </w:pPr>
        </w:p>
      </w:tc>
      <w:tc>
        <w:tcPr>
          <w:tcW w:w="4809" w:type="dxa"/>
        </w:tcPr>
        <w:p w14:paraId="1639569A" w14:textId="77777777" w:rsidR="00F559DC" w:rsidRPr="0032169D" w:rsidRDefault="00287F57">
          <w:pPr>
            <w:pStyle w:val="Kopfzeile"/>
            <w:pBdr>
              <w:bottom w:val="none" w:sz="0" w:space="0" w:color="auto"/>
            </w:pBdr>
            <w:tabs>
              <w:tab w:val="clear" w:pos="4536"/>
              <w:tab w:val="center" w:pos="4006"/>
            </w:tabs>
            <w:jc w:val="right"/>
            <w:rPr>
              <w:sz w:val="16"/>
              <w:szCs w:val="16"/>
            </w:rPr>
          </w:pPr>
          <w:r w:rsidRPr="0032169D">
            <w:rPr>
              <w:noProof/>
              <w:sz w:val="16"/>
              <w:szCs w:val="16"/>
            </w:rPr>
            <w:drawing>
              <wp:inline distT="0" distB="0" distL="0" distR="0" wp14:anchorId="34A11AA9" wp14:editId="2D321F6E">
                <wp:extent cx="2844855" cy="554707"/>
                <wp:effectExtent l="0" t="0" r="0" b="0"/>
                <wp:docPr id="1688559360"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559360" name="Grafik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857310" cy="557136"/>
                        </a:xfrm>
                        <a:prstGeom prst="rect">
                          <a:avLst/>
                        </a:prstGeom>
                        <a:noFill/>
                      </pic:spPr>
                    </pic:pic>
                  </a:graphicData>
                </a:graphic>
              </wp:inline>
            </w:drawing>
          </w:r>
        </w:p>
      </w:tc>
    </w:tr>
    <w:tr w:rsidR="004514FF" w:rsidRPr="0032169D" w14:paraId="557DF798" w14:textId="77777777" w:rsidTr="0032169D">
      <w:tc>
        <w:tcPr>
          <w:tcW w:w="3686" w:type="dxa"/>
          <w:vAlign w:val="bottom"/>
        </w:tcPr>
        <w:p w14:paraId="3BC0A886" w14:textId="77777777" w:rsidR="00F559DC" w:rsidRPr="0032169D" w:rsidRDefault="00F559DC">
          <w:pPr>
            <w:pStyle w:val="Kopfzeile"/>
            <w:pBdr>
              <w:bottom w:val="none" w:sz="0" w:space="0" w:color="auto"/>
            </w:pBdr>
            <w:jc w:val="left"/>
            <w:rPr>
              <w:sz w:val="44"/>
              <w:szCs w:val="44"/>
            </w:rPr>
          </w:pPr>
        </w:p>
      </w:tc>
      <w:tc>
        <w:tcPr>
          <w:tcW w:w="4809" w:type="dxa"/>
          <w:vAlign w:val="bottom"/>
        </w:tcPr>
        <w:p w14:paraId="690DE7AE" w14:textId="77777777" w:rsidR="00F559DC" w:rsidRPr="0032169D" w:rsidRDefault="00287F57">
          <w:pPr>
            <w:pStyle w:val="Kopfzeile"/>
            <w:pBdr>
              <w:bottom w:val="none" w:sz="0" w:space="0" w:color="auto"/>
            </w:pBdr>
            <w:jc w:val="right"/>
            <w:rPr>
              <w:sz w:val="44"/>
              <w:szCs w:val="44"/>
            </w:rPr>
          </w:pPr>
          <w:r w:rsidRPr="0032169D">
            <w:rPr>
              <w:sz w:val="44"/>
              <w:szCs w:val="44"/>
            </w:rPr>
            <w:t>Comunicado de prensa</w:t>
          </w:r>
        </w:p>
      </w:tc>
    </w:tr>
  </w:tbl>
  <w:p w14:paraId="5C9065F2" w14:textId="77777777" w:rsidR="00F559DC" w:rsidRPr="0032169D" w:rsidRDefault="00F559DC">
    <w:pPr>
      <w:pStyle w:val="Kopfzeile"/>
      <w:pBdr>
        <w:bottom w:val="none" w:sz="0" w:space="0" w:color="auto"/>
      </w:pBdr>
      <w:jc w:val="left"/>
      <w:rPr>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15pt;height:44.7pt" o:bullet="t">
        <v:imagedata r:id="rId1" o:title="art8998"/>
      </v:shape>
    </w:pict>
  </w:numPicBullet>
  <w:abstractNum w:abstractNumId="0" w15:restartNumberingAfterBreak="0">
    <w:nsid w:val="FFFFFF89"/>
    <w:multiLevelType w:val="singleLevel"/>
    <w:tmpl w:val="0E24D542"/>
    <w:lvl w:ilvl="0">
      <w:start w:val="1"/>
      <w:numFmt w:val="bullet"/>
      <w:pStyle w:val="Aufzhlungszeichen"/>
      <w:lvlText w:val=""/>
      <w:lvlJc w:val="left"/>
      <w:pPr>
        <w:tabs>
          <w:tab w:val="num" w:pos="360"/>
        </w:tabs>
        <w:ind w:left="360" w:hanging="360"/>
      </w:pPr>
      <w:rPr>
        <w:rFonts w:ascii="Symbol" w:hAnsi="Symbol" w:hint="default"/>
      </w:rPr>
    </w:lvl>
  </w:abstractNum>
  <w:abstractNum w:abstractNumId="1" w15:restartNumberingAfterBreak="0">
    <w:nsid w:val="01F969EC"/>
    <w:multiLevelType w:val="hybridMultilevel"/>
    <w:tmpl w:val="7F08C9DC"/>
    <w:lvl w:ilvl="0" w:tplc="54E2FD72">
      <w:start w:val="1"/>
      <w:numFmt w:val="bullet"/>
      <w:lvlText w:val=""/>
      <w:lvlJc w:val="left"/>
      <w:pPr>
        <w:ind w:left="720" w:hanging="360"/>
      </w:pPr>
      <w:rPr>
        <w:rFonts w:ascii="Symbol" w:hAnsi="Symbol" w:hint="default"/>
      </w:rPr>
    </w:lvl>
    <w:lvl w:ilvl="1" w:tplc="8370EF16">
      <w:start w:val="1"/>
      <w:numFmt w:val="bullet"/>
      <w:lvlText w:val="o"/>
      <w:lvlJc w:val="left"/>
      <w:pPr>
        <w:ind w:left="1440" w:hanging="360"/>
      </w:pPr>
      <w:rPr>
        <w:rFonts w:ascii="Courier New" w:hAnsi="Courier New" w:cs="Courier New" w:hint="default"/>
      </w:rPr>
    </w:lvl>
    <w:lvl w:ilvl="2" w:tplc="D96A616E">
      <w:start w:val="1"/>
      <w:numFmt w:val="bullet"/>
      <w:lvlText w:val=""/>
      <w:lvlJc w:val="left"/>
      <w:pPr>
        <w:ind w:left="2160" w:hanging="360"/>
      </w:pPr>
      <w:rPr>
        <w:rFonts w:ascii="Wingdings" w:hAnsi="Wingdings" w:hint="default"/>
      </w:rPr>
    </w:lvl>
    <w:lvl w:ilvl="3" w:tplc="119CE6B4">
      <w:start w:val="1"/>
      <w:numFmt w:val="bullet"/>
      <w:lvlText w:val=""/>
      <w:lvlJc w:val="left"/>
      <w:pPr>
        <w:ind w:left="2880" w:hanging="360"/>
      </w:pPr>
      <w:rPr>
        <w:rFonts w:ascii="Symbol" w:hAnsi="Symbol" w:hint="default"/>
      </w:rPr>
    </w:lvl>
    <w:lvl w:ilvl="4" w:tplc="2EB42042">
      <w:start w:val="1"/>
      <w:numFmt w:val="bullet"/>
      <w:lvlText w:val="o"/>
      <w:lvlJc w:val="left"/>
      <w:pPr>
        <w:ind w:left="3600" w:hanging="360"/>
      </w:pPr>
      <w:rPr>
        <w:rFonts w:ascii="Courier New" w:hAnsi="Courier New" w:cs="Courier New" w:hint="default"/>
      </w:rPr>
    </w:lvl>
    <w:lvl w:ilvl="5" w:tplc="EB666982">
      <w:start w:val="1"/>
      <w:numFmt w:val="bullet"/>
      <w:lvlText w:val=""/>
      <w:lvlJc w:val="left"/>
      <w:pPr>
        <w:ind w:left="4320" w:hanging="360"/>
      </w:pPr>
      <w:rPr>
        <w:rFonts w:ascii="Wingdings" w:hAnsi="Wingdings" w:hint="default"/>
      </w:rPr>
    </w:lvl>
    <w:lvl w:ilvl="6" w:tplc="2E2255BA">
      <w:start w:val="1"/>
      <w:numFmt w:val="bullet"/>
      <w:lvlText w:val=""/>
      <w:lvlJc w:val="left"/>
      <w:pPr>
        <w:ind w:left="5040" w:hanging="360"/>
      </w:pPr>
      <w:rPr>
        <w:rFonts w:ascii="Symbol" w:hAnsi="Symbol" w:hint="default"/>
      </w:rPr>
    </w:lvl>
    <w:lvl w:ilvl="7" w:tplc="35D22BD8">
      <w:start w:val="1"/>
      <w:numFmt w:val="bullet"/>
      <w:lvlText w:val="o"/>
      <w:lvlJc w:val="left"/>
      <w:pPr>
        <w:ind w:left="5760" w:hanging="360"/>
      </w:pPr>
      <w:rPr>
        <w:rFonts w:ascii="Courier New" w:hAnsi="Courier New" w:cs="Courier New" w:hint="default"/>
      </w:rPr>
    </w:lvl>
    <w:lvl w:ilvl="8" w:tplc="4942FED4">
      <w:start w:val="1"/>
      <w:numFmt w:val="bullet"/>
      <w:lvlText w:val=""/>
      <w:lvlJc w:val="left"/>
      <w:pPr>
        <w:ind w:left="6480" w:hanging="360"/>
      </w:pPr>
      <w:rPr>
        <w:rFonts w:ascii="Wingdings" w:hAnsi="Wingdings" w:hint="default"/>
      </w:rPr>
    </w:lvl>
  </w:abstractNum>
  <w:abstractNum w:abstractNumId="2" w15:restartNumberingAfterBreak="0">
    <w:nsid w:val="1004230B"/>
    <w:multiLevelType w:val="hybridMultilevel"/>
    <w:tmpl w:val="25F8E9B4"/>
    <w:lvl w:ilvl="0" w:tplc="E0F00A5E">
      <w:start w:val="1"/>
      <w:numFmt w:val="bullet"/>
      <w:lvlText w:val=""/>
      <w:lvlJc w:val="left"/>
      <w:pPr>
        <w:ind w:left="360" w:hanging="360"/>
      </w:pPr>
      <w:rPr>
        <w:rFonts w:ascii="Symbol" w:hAnsi="Symbol" w:hint="default"/>
      </w:rPr>
    </w:lvl>
    <w:lvl w:ilvl="1" w:tplc="FA58B71C">
      <w:start w:val="1"/>
      <w:numFmt w:val="bullet"/>
      <w:lvlText w:val="o"/>
      <w:lvlJc w:val="left"/>
      <w:pPr>
        <w:ind w:left="1080" w:hanging="360"/>
      </w:pPr>
      <w:rPr>
        <w:rFonts w:ascii="Courier New" w:hAnsi="Courier New" w:cs="Courier New" w:hint="default"/>
      </w:rPr>
    </w:lvl>
    <w:lvl w:ilvl="2" w:tplc="296A10D8" w:tentative="1">
      <w:start w:val="1"/>
      <w:numFmt w:val="bullet"/>
      <w:lvlText w:val=""/>
      <w:lvlJc w:val="left"/>
      <w:pPr>
        <w:ind w:left="1800" w:hanging="360"/>
      </w:pPr>
      <w:rPr>
        <w:rFonts w:ascii="Wingdings" w:hAnsi="Wingdings" w:hint="default"/>
      </w:rPr>
    </w:lvl>
    <w:lvl w:ilvl="3" w:tplc="99D29ACC" w:tentative="1">
      <w:start w:val="1"/>
      <w:numFmt w:val="bullet"/>
      <w:lvlText w:val=""/>
      <w:lvlJc w:val="left"/>
      <w:pPr>
        <w:ind w:left="2520" w:hanging="360"/>
      </w:pPr>
      <w:rPr>
        <w:rFonts w:ascii="Symbol" w:hAnsi="Symbol" w:hint="default"/>
      </w:rPr>
    </w:lvl>
    <w:lvl w:ilvl="4" w:tplc="2E3E588A" w:tentative="1">
      <w:start w:val="1"/>
      <w:numFmt w:val="bullet"/>
      <w:lvlText w:val="o"/>
      <w:lvlJc w:val="left"/>
      <w:pPr>
        <w:ind w:left="3240" w:hanging="360"/>
      </w:pPr>
      <w:rPr>
        <w:rFonts w:ascii="Courier New" w:hAnsi="Courier New" w:cs="Courier New" w:hint="default"/>
      </w:rPr>
    </w:lvl>
    <w:lvl w:ilvl="5" w:tplc="F86CCE80" w:tentative="1">
      <w:start w:val="1"/>
      <w:numFmt w:val="bullet"/>
      <w:lvlText w:val=""/>
      <w:lvlJc w:val="left"/>
      <w:pPr>
        <w:ind w:left="3960" w:hanging="360"/>
      </w:pPr>
      <w:rPr>
        <w:rFonts w:ascii="Wingdings" w:hAnsi="Wingdings" w:hint="default"/>
      </w:rPr>
    </w:lvl>
    <w:lvl w:ilvl="6" w:tplc="9282ECCE" w:tentative="1">
      <w:start w:val="1"/>
      <w:numFmt w:val="bullet"/>
      <w:lvlText w:val=""/>
      <w:lvlJc w:val="left"/>
      <w:pPr>
        <w:ind w:left="4680" w:hanging="360"/>
      </w:pPr>
      <w:rPr>
        <w:rFonts w:ascii="Symbol" w:hAnsi="Symbol" w:hint="default"/>
      </w:rPr>
    </w:lvl>
    <w:lvl w:ilvl="7" w:tplc="255CC5B4" w:tentative="1">
      <w:start w:val="1"/>
      <w:numFmt w:val="bullet"/>
      <w:lvlText w:val="o"/>
      <w:lvlJc w:val="left"/>
      <w:pPr>
        <w:ind w:left="5400" w:hanging="360"/>
      </w:pPr>
      <w:rPr>
        <w:rFonts w:ascii="Courier New" w:hAnsi="Courier New" w:cs="Courier New" w:hint="default"/>
      </w:rPr>
    </w:lvl>
    <w:lvl w:ilvl="8" w:tplc="010EC99A" w:tentative="1">
      <w:start w:val="1"/>
      <w:numFmt w:val="bullet"/>
      <w:lvlText w:val=""/>
      <w:lvlJc w:val="left"/>
      <w:pPr>
        <w:ind w:left="6120" w:hanging="360"/>
      </w:pPr>
      <w:rPr>
        <w:rFonts w:ascii="Wingdings" w:hAnsi="Wingdings" w:hint="default"/>
      </w:rPr>
    </w:lvl>
  </w:abstractNum>
  <w:abstractNum w:abstractNumId="3" w15:restartNumberingAfterBreak="0">
    <w:nsid w:val="13B12ADC"/>
    <w:multiLevelType w:val="hybridMultilevel"/>
    <w:tmpl w:val="CEFE9368"/>
    <w:lvl w:ilvl="0" w:tplc="E6026B16">
      <w:start w:val="1"/>
      <w:numFmt w:val="bullet"/>
      <w:lvlText w:val=""/>
      <w:lvlPicBulletId w:val="0"/>
      <w:lvlJc w:val="left"/>
      <w:pPr>
        <w:tabs>
          <w:tab w:val="num" w:pos="720"/>
        </w:tabs>
        <w:ind w:left="720" w:hanging="360"/>
      </w:pPr>
      <w:rPr>
        <w:rFonts w:ascii="Symbol" w:hAnsi="Symbol" w:hint="default"/>
      </w:rPr>
    </w:lvl>
    <w:lvl w:ilvl="1" w:tplc="960A6390">
      <w:start w:val="1"/>
      <w:numFmt w:val="bullet"/>
      <w:lvlText w:val=""/>
      <w:lvlPicBulletId w:val="0"/>
      <w:lvlJc w:val="left"/>
      <w:pPr>
        <w:tabs>
          <w:tab w:val="num" w:pos="1440"/>
        </w:tabs>
        <w:ind w:left="1440" w:hanging="360"/>
      </w:pPr>
      <w:rPr>
        <w:rFonts w:ascii="Symbol" w:hAnsi="Symbol" w:hint="default"/>
      </w:rPr>
    </w:lvl>
    <w:lvl w:ilvl="2" w:tplc="0B923E84" w:tentative="1">
      <w:start w:val="1"/>
      <w:numFmt w:val="bullet"/>
      <w:lvlText w:val=""/>
      <w:lvlPicBulletId w:val="0"/>
      <w:lvlJc w:val="left"/>
      <w:pPr>
        <w:tabs>
          <w:tab w:val="num" w:pos="2160"/>
        </w:tabs>
        <w:ind w:left="2160" w:hanging="360"/>
      </w:pPr>
      <w:rPr>
        <w:rFonts w:ascii="Symbol" w:hAnsi="Symbol" w:hint="default"/>
      </w:rPr>
    </w:lvl>
    <w:lvl w:ilvl="3" w:tplc="C1F688CC" w:tentative="1">
      <w:start w:val="1"/>
      <w:numFmt w:val="bullet"/>
      <w:lvlText w:val=""/>
      <w:lvlPicBulletId w:val="0"/>
      <w:lvlJc w:val="left"/>
      <w:pPr>
        <w:tabs>
          <w:tab w:val="num" w:pos="2880"/>
        </w:tabs>
        <w:ind w:left="2880" w:hanging="360"/>
      </w:pPr>
      <w:rPr>
        <w:rFonts w:ascii="Symbol" w:hAnsi="Symbol" w:hint="default"/>
      </w:rPr>
    </w:lvl>
    <w:lvl w:ilvl="4" w:tplc="7092FBD6" w:tentative="1">
      <w:start w:val="1"/>
      <w:numFmt w:val="bullet"/>
      <w:lvlText w:val=""/>
      <w:lvlPicBulletId w:val="0"/>
      <w:lvlJc w:val="left"/>
      <w:pPr>
        <w:tabs>
          <w:tab w:val="num" w:pos="3600"/>
        </w:tabs>
        <w:ind w:left="3600" w:hanging="360"/>
      </w:pPr>
      <w:rPr>
        <w:rFonts w:ascii="Symbol" w:hAnsi="Symbol" w:hint="default"/>
      </w:rPr>
    </w:lvl>
    <w:lvl w:ilvl="5" w:tplc="E4623AFC" w:tentative="1">
      <w:start w:val="1"/>
      <w:numFmt w:val="bullet"/>
      <w:lvlText w:val=""/>
      <w:lvlPicBulletId w:val="0"/>
      <w:lvlJc w:val="left"/>
      <w:pPr>
        <w:tabs>
          <w:tab w:val="num" w:pos="4320"/>
        </w:tabs>
        <w:ind w:left="4320" w:hanging="360"/>
      </w:pPr>
      <w:rPr>
        <w:rFonts w:ascii="Symbol" w:hAnsi="Symbol" w:hint="default"/>
      </w:rPr>
    </w:lvl>
    <w:lvl w:ilvl="6" w:tplc="5A3E8510" w:tentative="1">
      <w:start w:val="1"/>
      <w:numFmt w:val="bullet"/>
      <w:lvlText w:val=""/>
      <w:lvlPicBulletId w:val="0"/>
      <w:lvlJc w:val="left"/>
      <w:pPr>
        <w:tabs>
          <w:tab w:val="num" w:pos="5040"/>
        </w:tabs>
        <w:ind w:left="5040" w:hanging="360"/>
      </w:pPr>
      <w:rPr>
        <w:rFonts w:ascii="Symbol" w:hAnsi="Symbol" w:hint="default"/>
      </w:rPr>
    </w:lvl>
    <w:lvl w:ilvl="7" w:tplc="261A22FE" w:tentative="1">
      <w:start w:val="1"/>
      <w:numFmt w:val="bullet"/>
      <w:lvlText w:val=""/>
      <w:lvlPicBulletId w:val="0"/>
      <w:lvlJc w:val="left"/>
      <w:pPr>
        <w:tabs>
          <w:tab w:val="num" w:pos="5760"/>
        </w:tabs>
        <w:ind w:left="5760" w:hanging="360"/>
      </w:pPr>
      <w:rPr>
        <w:rFonts w:ascii="Symbol" w:hAnsi="Symbol" w:hint="default"/>
      </w:rPr>
    </w:lvl>
    <w:lvl w:ilvl="8" w:tplc="B63A3EEA" w:tentative="1">
      <w:start w:val="1"/>
      <w:numFmt w:val="bullet"/>
      <w:lvlText w:val=""/>
      <w:lvlPicBulletId w:val="0"/>
      <w:lvlJc w:val="left"/>
      <w:pPr>
        <w:tabs>
          <w:tab w:val="num" w:pos="6480"/>
        </w:tabs>
        <w:ind w:left="6480" w:hanging="360"/>
      </w:pPr>
      <w:rPr>
        <w:rFonts w:ascii="Symbol" w:hAnsi="Symbol" w:hint="default"/>
      </w:rPr>
    </w:lvl>
  </w:abstractNum>
  <w:num w:numId="1" w16cid:durableId="1722485266">
    <w:abstractNumId w:val="1"/>
  </w:num>
  <w:num w:numId="2" w16cid:durableId="1974091438">
    <w:abstractNumId w:val="2"/>
  </w:num>
  <w:num w:numId="3" w16cid:durableId="1774474775">
    <w:abstractNumId w:val="3"/>
  </w:num>
  <w:num w:numId="4" w16cid:durableId="19904810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onsecutiveHyphenLimit w:val="3"/>
  <w:hyphenationZone w:val="454"/>
  <w:doNotHyphenateCap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59DC"/>
    <w:rsid w:val="00031FB0"/>
    <w:rsid w:val="000541E0"/>
    <w:rsid w:val="00075F12"/>
    <w:rsid w:val="00092AED"/>
    <w:rsid w:val="000C3872"/>
    <w:rsid w:val="001708DF"/>
    <w:rsid w:val="0027457E"/>
    <w:rsid w:val="00287F57"/>
    <w:rsid w:val="002A2A9E"/>
    <w:rsid w:val="00312659"/>
    <w:rsid w:val="0032169D"/>
    <w:rsid w:val="003A6683"/>
    <w:rsid w:val="00443819"/>
    <w:rsid w:val="004514FF"/>
    <w:rsid w:val="00483D40"/>
    <w:rsid w:val="005361C9"/>
    <w:rsid w:val="00543861"/>
    <w:rsid w:val="005A7E41"/>
    <w:rsid w:val="006B7F28"/>
    <w:rsid w:val="00745AC9"/>
    <w:rsid w:val="007C356A"/>
    <w:rsid w:val="007C5459"/>
    <w:rsid w:val="00801584"/>
    <w:rsid w:val="00847E32"/>
    <w:rsid w:val="008F082E"/>
    <w:rsid w:val="009E79FC"/>
    <w:rsid w:val="00BA1D0C"/>
    <w:rsid w:val="00C04F74"/>
    <w:rsid w:val="00C412F1"/>
    <w:rsid w:val="00C66F9D"/>
    <w:rsid w:val="00CB06C4"/>
    <w:rsid w:val="00CD6918"/>
    <w:rsid w:val="00D5149F"/>
    <w:rsid w:val="00D921F5"/>
    <w:rsid w:val="00DB722E"/>
    <w:rsid w:val="00E873EA"/>
    <w:rsid w:val="00EC6B64"/>
    <w:rsid w:val="00F559DC"/>
    <w:rsid w:val="00F67DAD"/>
    <w:rsid w:val="00F72CB0"/>
    <w:rsid w:val="00FA77F0"/>
    <w:rsid w:val="00FD5E60"/>
  </w:rsids>
  <m:mathPr>
    <m:mathFont m:val="Cambria Math"/>
    <m:brkBin m:val="before"/>
    <m:brkBinSub m:val="--"/>
    <m:smallFrac m:val="0"/>
    <m:dispDef/>
    <m:lMargin m:val="0"/>
    <m:rMargin m:val="0"/>
    <m:defJc m:val="centerGroup"/>
    <m:wrapIndent m:val="1440"/>
    <m:intLim m:val="subSup"/>
    <m:naryLim m:val="undOvr"/>
  </m:mathPr>
  <w:themeFontLang w:val="de-DE"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9ECF2C"/>
  <w15:chartTrackingRefBased/>
  <w15:docId w15:val="{7066E704-C290-4F12-92E2-555D887B7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before="360" w:line="360" w:lineRule="auto"/>
    </w:pPr>
    <w:rPr>
      <w:rFonts w:ascii="Arial" w:hAnsi="Arial"/>
      <w:color w:val="000000"/>
      <w:sz w:val="24"/>
      <w:szCs w:val="24"/>
      <w:lang w:val="es-ES" w:eastAsia="en-US"/>
    </w:rPr>
  </w:style>
  <w:style w:type="paragraph" w:styleId="berschrift1">
    <w:name w:val="heading 1"/>
    <w:basedOn w:val="Standard"/>
    <w:next w:val="Standard"/>
    <w:qFormat/>
    <w:pPr>
      <w:widowControl w:val="0"/>
      <w:spacing w:before="120" w:after="240" w:line="240" w:lineRule="auto"/>
      <w:outlineLvl w:val="0"/>
    </w:pPr>
    <w:rPr>
      <w:rFonts w:cs="Arial"/>
      <w:b/>
      <w:bCs/>
      <w:kern w:val="32"/>
      <w:sz w:val="36"/>
      <w:szCs w:val="32"/>
    </w:rPr>
  </w:style>
  <w:style w:type="paragraph" w:styleId="berschrift2">
    <w:name w:val="heading 2"/>
    <w:basedOn w:val="Standard"/>
    <w:next w:val="Standard"/>
    <w:qFormat/>
    <w:pPr>
      <w:keepNext/>
      <w:spacing w:before="240" w:line="240" w:lineRule="auto"/>
      <w:outlineLvl w:val="1"/>
    </w:pPr>
    <w:rPr>
      <w:rFonts w:cs="Arial"/>
      <w:b/>
      <w:bCs/>
      <w:i/>
      <w:iCs/>
    </w:rPr>
  </w:style>
  <w:style w:type="paragraph" w:styleId="berschrift3">
    <w:name w:val="heading 3"/>
    <w:basedOn w:val="Standard"/>
    <w:next w:val="Standard"/>
    <w:link w:val="berschrift3Zchn"/>
    <w:uiPriority w:val="9"/>
    <w:semiHidden/>
    <w:unhideWhenUsed/>
    <w:qFormat/>
    <w:pPr>
      <w:keepNext/>
      <w:spacing w:before="240" w:after="60"/>
      <w:outlineLvl w:val="2"/>
    </w:pPr>
    <w:rPr>
      <w:rFonts w:ascii="Calibri Light" w:hAnsi="Calibri Light"/>
      <w:b/>
      <w:bCs/>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Pressemitteilung">
    <w:name w:val="Pressemitteilung"/>
    <w:basedOn w:val="Standard"/>
    <w:next w:val="Standard"/>
    <w:rPr>
      <w:b/>
      <w:sz w:val="48"/>
    </w:rPr>
  </w:style>
  <w:style w:type="character" w:styleId="Hyperlink">
    <w:name w:val="Hyperlink"/>
    <w:rPr>
      <w:color w:val="0000FF"/>
      <w:u w:val="single"/>
    </w:rPr>
  </w:style>
  <w:style w:type="paragraph" w:customStyle="1" w:styleId="Bildunterschrift">
    <w:name w:val="Bildunterschrift"/>
    <w:basedOn w:val="Standard"/>
    <w:pPr>
      <w:spacing w:before="120" w:line="240" w:lineRule="auto"/>
    </w:pPr>
    <w:rPr>
      <w:i/>
    </w:rPr>
  </w:style>
  <w:style w:type="paragraph" w:styleId="Kopfzeile">
    <w:name w:val="header"/>
    <w:basedOn w:val="Standard"/>
    <w:link w:val="KopfzeileZchn"/>
    <w:pPr>
      <w:pBdr>
        <w:bottom w:val="single" w:sz="4" w:space="1" w:color="auto"/>
      </w:pBdr>
      <w:tabs>
        <w:tab w:val="center" w:pos="4536"/>
        <w:tab w:val="right" w:pos="9072"/>
      </w:tabs>
      <w:spacing w:before="0" w:line="240" w:lineRule="auto"/>
      <w:jc w:val="center"/>
    </w:pPr>
    <w:rPr>
      <w:sz w:val="18"/>
    </w:r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paragraph" w:customStyle="1" w:styleId="Default">
    <w:name w:val="Default"/>
    <w:pPr>
      <w:autoSpaceDE w:val="0"/>
      <w:autoSpaceDN w:val="0"/>
      <w:adjustRightInd w:val="0"/>
    </w:pPr>
    <w:rPr>
      <w:rFonts w:ascii="Arial" w:hAnsi="Arial" w:cs="Arial"/>
      <w:color w:val="000000"/>
      <w:sz w:val="24"/>
      <w:szCs w:val="24"/>
    </w:rPr>
  </w:style>
  <w:style w:type="table" w:customStyle="1" w:styleId="Tabellengitternetz">
    <w:name w:val="Tabellengitternetz"/>
    <w:basedOn w:val="NormaleTabelle"/>
    <w:pPr>
      <w:spacing w:before="360" w:line="36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3Zchn">
    <w:name w:val="Überschrift 3 Zchn"/>
    <w:link w:val="berschrift3"/>
    <w:uiPriority w:val="9"/>
    <w:semiHidden/>
    <w:rPr>
      <w:rFonts w:ascii="Calibri Light" w:eastAsia="Times New Roman" w:hAnsi="Calibri Light" w:cs="Times New Roman"/>
      <w:b/>
      <w:bCs/>
      <w:color w:val="000000"/>
      <w:sz w:val="26"/>
      <w:szCs w:val="26"/>
      <w:lang w:eastAsia="en-US"/>
    </w:rPr>
  </w:style>
  <w:style w:type="character" w:customStyle="1" w:styleId="KopfzeileZchn">
    <w:name w:val="Kopfzeile Zchn"/>
    <w:link w:val="Kopfzeile"/>
    <w:rPr>
      <w:rFonts w:ascii="Arial" w:hAnsi="Arial"/>
      <w:color w:val="000000"/>
      <w:sz w:val="18"/>
      <w:szCs w:val="24"/>
      <w:lang w:eastAsia="en-US"/>
    </w:rPr>
  </w:style>
  <w:style w:type="paragraph" w:styleId="Sprechblasentext">
    <w:name w:val="Balloon Text"/>
    <w:basedOn w:val="Standard"/>
    <w:link w:val="SprechblasentextZchn"/>
    <w:uiPriority w:val="99"/>
    <w:semiHidden/>
    <w:unhideWhenUsed/>
    <w:pPr>
      <w:spacing w:before="0" w:line="240" w:lineRule="auto"/>
    </w:pPr>
    <w:rPr>
      <w:rFonts w:ascii="Segoe UI" w:hAnsi="Segoe UI" w:cs="Segoe UI"/>
      <w:sz w:val="18"/>
      <w:szCs w:val="18"/>
    </w:rPr>
  </w:style>
  <w:style w:type="character" w:customStyle="1" w:styleId="SprechblasentextZchn">
    <w:name w:val="Sprechblasentext Zchn"/>
    <w:link w:val="Sprechblasentext"/>
    <w:uiPriority w:val="99"/>
    <w:semiHidden/>
    <w:rPr>
      <w:rFonts w:ascii="Segoe UI" w:hAnsi="Segoe UI" w:cs="Segoe UI"/>
      <w:color w:val="000000"/>
      <w:sz w:val="18"/>
      <w:szCs w:val="18"/>
      <w:lang w:eastAsia="en-US"/>
    </w:rPr>
  </w:style>
  <w:style w:type="character" w:styleId="Hervorhebung">
    <w:name w:val="Emphasis"/>
    <w:uiPriority w:val="20"/>
    <w:qFormat/>
    <w:rPr>
      <w:i/>
      <w:iCs/>
    </w:rPr>
  </w:style>
  <w:style w:type="paragraph" w:styleId="StandardWeb">
    <w:name w:val="Normal (Web)"/>
    <w:basedOn w:val="Standard"/>
    <w:uiPriority w:val="99"/>
    <w:unhideWhenUsed/>
    <w:pPr>
      <w:spacing w:before="0" w:after="100" w:afterAutospacing="1" w:line="240" w:lineRule="auto"/>
    </w:pPr>
    <w:rPr>
      <w:rFonts w:ascii="Times New Roman" w:hAnsi="Times New Roman"/>
      <w:color w:val="auto"/>
      <w:lang w:eastAsia="de-DE"/>
    </w:rPr>
  </w:style>
  <w:style w:type="character" w:styleId="Kommentarzeichen">
    <w:name w:val="annotation reference"/>
    <w:uiPriority w:val="99"/>
    <w:semiHidden/>
    <w:unhideWhenUsed/>
    <w:rPr>
      <w:sz w:val="16"/>
      <w:szCs w:val="16"/>
    </w:rPr>
  </w:style>
  <w:style w:type="paragraph" w:styleId="Kommentartext">
    <w:name w:val="annotation text"/>
    <w:basedOn w:val="Standard"/>
    <w:link w:val="KommentartextZchn"/>
    <w:uiPriority w:val="99"/>
    <w:semiHidden/>
    <w:unhideWhenUsed/>
    <w:rPr>
      <w:sz w:val="20"/>
      <w:szCs w:val="20"/>
    </w:rPr>
  </w:style>
  <w:style w:type="character" w:customStyle="1" w:styleId="KommentartextZchn">
    <w:name w:val="Kommentartext Zchn"/>
    <w:link w:val="Kommentartext"/>
    <w:uiPriority w:val="99"/>
    <w:semiHidden/>
    <w:rPr>
      <w:rFonts w:ascii="Arial" w:hAnsi="Arial"/>
      <w:color w:val="000000"/>
      <w:lang w:eastAsia="en-US"/>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link w:val="Kommentarthema"/>
    <w:uiPriority w:val="99"/>
    <w:semiHidden/>
    <w:rPr>
      <w:rFonts w:ascii="Arial" w:hAnsi="Arial"/>
      <w:b/>
      <w:bCs/>
      <w:color w:val="000000"/>
      <w:lang w:eastAsia="en-US"/>
    </w:rPr>
  </w:style>
  <w:style w:type="paragraph" w:styleId="berarbeitung">
    <w:name w:val="Revision"/>
    <w:hidden/>
    <w:uiPriority w:val="99"/>
    <w:semiHidden/>
    <w:rPr>
      <w:rFonts w:ascii="Arial" w:hAnsi="Arial"/>
      <w:color w:val="000000"/>
      <w:sz w:val="24"/>
      <w:szCs w:val="24"/>
      <w:lang w:eastAsia="en-US"/>
    </w:rPr>
  </w:style>
  <w:style w:type="paragraph" w:styleId="Listenabsatz">
    <w:name w:val="List Paragraph"/>
    <w:basedOn w:val="Standard"/>
    <w:uiPriority w:val="34"/>
    <w:qFormat/>
    <w:pPr>
      <w:ind w:left="720"/>
      <w:contextualSpacing/>
    </w:pPr>
  </w:style>
  <w:style w:type="table" w:styleId="Tabellenraster">
    <w:name w:val="Table Grid"/>
    <w:basedOn w:val="NormaleTabelle"/>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ufzhlungszeichen">
    <w:name w:val="List Bullet"/>
    <w:basedOn w:val="Standard"/>
    <w:uiPriority w:val="99"/>
    <w:unhideWhenUsed/>
    <w:pPr>
      <w:numPr>
        <w:numId w:val="4"/>
      </w:numPr>
      <w:contextualSpacing/>
    </w:pPr>
  </w:style>
  <w:style w:type="character" w:styleId="NichtaufgelsteErwhnung">
    <w:name w:val="Unresolved Mention"/>
    <w:basedOn w:val="Absatz-Standardschriftart"/>
    <w:uiPriority w:val="99"/>
    <w:semiHidden/>
    <w:unhideWhenUsed/>
    <w:rsid w:val="00FA77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il@konsens.d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8D87F0-31AB-48D4-9F78-A4536351A2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639</Words>
  <Characters>4031</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Pressemitteilung</vt:lpstr>
    </vt:vector>
  </TitlesOfParts>
  <Company>KONSENS</Company>
  <LinksUpToDate>false</LinksUpToDate>
  <CharactersWithSpaces>4661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creator>BW</dc:creator>
  <cp:lastModifiedBy>Sandra Amann</cp:lastModifiedBy>
  <cp:revision>3</cp:revision>
  <cp:lastPrinted>2009-03-23T15:46:00Z</cp:lastPrinted>
  <dcterms:created xsi:type="dcterms:W3CDTF">2026-09-21T13:21:00Z</dcterms:created>
  <dcterms:modified xsi:type="dcterms:W3CDTF">2026-09-22T13:09:00Z</dcterms:modified>
</cp:coreProperties>
</file>