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68459" w14:textId="77777777" w:rsidR="00E873EA" w:rsidRPr="004E08F3" w:rsidRDefault="008E74D6" w:rsidP="00B76382">
      <w:pPr>
        <w:spacing w:before="240" w:line="240" w:lineRule="auto"/>
        <w:rPr>
          <w:rFonts w:asciiTheme="minorBidi" w:hAnsiTheme="minorBidi" w:cstheme="minorBidi"/>
          <w:b/>
          <w:sz w:val="40"/>
          <w:szCs w:val="40"/>
        </w:rPr>
      </w:pPr>
      <w:r w:rsidRPr="004E08F3">
        <w:rPr>
          <w:rFonts w:asciiTheme="minorBidi" w:hAnsiTheme="minorBidi"/>
          <w:b/>
          <w:bCs/>
          <w:sz w:val="32"/>
          <w:szCs w:val="32"/>
        </w:rPr>
        <w:t>Investissement dans la croissance, l’efficacité et le développement durable :</w:t>
      </w:r>
      <w:r w:rsidRPr="004E08F3">
        <w:rPr>
          <w:rFonts w:asciiTheme="minorBidi" w:hAnsiTheme="minorBidi"/>
          <w:sz w:val="32"/>
          <w:szCs w:val="32"/>
        </w:rPr>
        <w:br/>
      </w:r>
      <w:r w:rsidRPr="004E08F3">
        <w:rPr>
          <w:rFonts w:asciiTheme="minorBidi" w:hAnsiTheme="minorBidi"/>
          <w:b/>
          <w:bCs/>
          <w:sz w:val="40"/>
          <w:szCs w:val="40"/>
        </w:rPr>
        <w:t>TechnoCompound augmente ses capacités de production de fibres de verre longues de 4 800 tonnes par an</w:t>
      </w:r>
    </w:p>
    <w:p w14:paraId="4DF017A8" w14:textId="77777777" w:rsidR="00FA77F0" w:rsidRPr="004E08F3" w:rsidRDefault="008E74D6" w:rsidP="00B76382">
      <w:pPr>
        <w:spacing w:before="240" w:line="360" w:lineRule="exact"/>
        <w:rPr>
          <w:rFonts w:cs="Arial"/>
          <w:color w:val="auto"/>
        </w:rPr>
      </w:pPr>
      <w:r w:rsidRPr="004E08F3">
        <w:rPr>
          <w:rFonts w:cs="Arial"/>
          <w:color w:val="auto"/>
        </w:rPr>
        <w:t>Bad Sobernheim/Allemagne, septembre 2026. TechnoCompound répond à la demande croissante en composés renforcés de fibres de verre longues hautement performants, tout en étoffant sa gamme de produits durables. L’augmentation des capacités du site de Bad Sobernheim n’implique toutefois aucune évolution significative des processus et n’altère en rien le concept technique global de la production existante. La nouvelle ligne de fabrication devrait être mise en service au plus tard au deuxième trimestre 2027.</w:t>
      </w:r>
    </w:p>
    <w:p w14:paraId="0EC87342" w14:textId="77777777" w:rsidR="00FA77F0" w:rsidRPr="004E08F3" w:rsidRDefault="008E74D6" w:rsidP="00B76382">
      <w:pPr>
        <w:spacing w:before="240" w:line="360" w:lineRule="exact"/>
        <w:rPr>
          <w:rFonts w:cs="Arial"/>
          <w:color w:val="auto"/>
        </w:rPr>
      </w:pPr>
      <w:r w:rsidRPr="004E08F3">
        <w:rPr>
          <w:rFonts w:cs="Arial"/>
          <w:color w:val="auto"/>
        </w:rPr>
        <w:t xml:space="preserve">L’entreprise propose déjà des composés de fibres de verre longues durables contenant entre 25 % et 60 % de matières recyclées post-consommation (PCR). Celles-ci satisfont voire dépassent les futures exigences du règlement européen sur les véhicules hors d’usage (VHU) et offrent des solutions optimales, notamment pour les éléments structurels de l’habitacle. </w:t>
      </w:r>
    </w:p>
    <w:p w14:paraId="3AFA5BAE" w14:textId="0522E1DB" w:rsidR="00FA77F0" w:rsidRPr="004E08F3" w:rsidRDefault="008E74D6" w:rsidP="00B76382">
      <w:pPr>
        <w:spacing w:before="240" w:line="360" w:lineRule="exact"/>
        <w:rPr>
          <w:rFonts w:cs="Arial"/>
          <w:color w:val="auto"/>
        </w:rPr>
      </w:pPr>
      <w:r w:rsidRPr="004E08F3">
        <w:rPr>
          <w:rFonts w:cs="Arial"/>
          <w:color w:val="auto"/>
        </w:rPr>
        <w:t xml:space="preserve">Rifat Erden, </w:t>
      </w:r>
      <w:r w:rsidR="004E08F3" w:rsidRPr="004E08F3">
        <w:rPr>
          <w:rFonts w:cs="Arial"/>
          <w:color w:val="auto"/>
        </w:rPr>
        <w:t>D</w:t>
      </w:r>
      <w:r w:rsidRPr="004E08F3">
        <w:rPr>
          <w:rFonts w:cs="Arial"/>
          <w:color w:val="auto"/>
        </w:rPr>
        <w:t xml:space="preserve">irecteur </w:t>
      </w:r>
      <w:r w:rsidR="004E08F3" w:rsidRPr="004E08F3">
        <w:rPr>
          <w:rFonts w:cs="Arial"/>
          <w:color w:val="auto"/>
        </w:rPr>
        <w:t>des ventes et du marketing</w:t>
      </w:r>
      <w:r w:rsidRPr="004E08F3">
        <w:rPr>
          <w:rFonts w:cs="Arial"/>
          <w:color w:val="auto"/>
        </w:rPr>
        <w:t>, déclare à ce sujet : « En poursuivant le développement de nos capacités de production dans le domaine des fibres de verre longues, nous investissons de manière ciblée dans l’avenir de TechnoCompound.</w:t>
      </w:r>
      <w:r w:rsidR="004E08F3">
        <w:rPr>
          <w:rFonts w:cs="Arial"/>
          <w:color w:val="auto"/>
        </w:rPr>
        <w:t xml:space="preserve"> </w:t>
      </w:r>
      <w:r w:rsidRPr="004E08F3">
        <w:rPr>
          <w:rFonts w:cs="Arial"/>
          <w:color w:val="auto"/>
        </w:rPr>
        <w:t>L’augmentation de nos capacités de fabrication de 4 800 tonnes par an est en effet notre réponse à la demande sans cesse croissante en composés haute performance renforcés de fibres de verre longues. »</w:t>
      </w:r>
    </w:p>
    <w:p w14:paraId="319BFE99" w14:textId="5EDD1484" w:rsidR="00E873EA" w:rsidRPr="004E08F3" w:rsidRDefault="008E74D6" w:rsidP="00B76382">
      <w:pPr>
        <w:spacing w:before="240" w:line="360" w:lineRule="exact"/>
        <w:rPr>
          <w:rFonts w:cs="Arial"/>
          <w:color w:val="auto"/>
        </w:rPr>
      </w:pPr>
      <w:r w:rsidRPr="004E08F3">
        <w:rPr>
          <w:rFonts w:cs="Arial"/>
          <w:color w:val="auto"/>
        </w:rPr>
        <w:t xml:space="preserve">« Dans ce contexte, l’efficacité et la durabilité restent toutefois d’une importance capitale pour TechnoCompound », ajoute Dirk Breitbach, </w:t>
      </w:r>
      <w:r w:rsidR="004E08F3" w:rsidRPr="004E08F3">
        <w:rPr>
          <w:rFonts w:cs="Arial"/>
          <w:color w:val="auto"/>
        </w:rPr>
        <w:t>D</w:t>
      </w:r>
      <w:r w:rsidRPr="004E08F3">
        <w:rPr>
          <w:rFonts w:cs="Arial"/>
          <w:color w:val="auto"/>
        </w:rPr>
        <w:t>irecteur général. « La nouvelle installation est de ce fait exploitée de manière à optimiser sa consommation d’énergie et répond aux normes environnementales et technologiques en vigueur.</w:t>
      </w:r>
      <w:r w:rsidR="004E08F3" w:rsidRPr="004E08F3">
        <w:rPr>
          <w:rFonts w:cs="Arial"/>
          <w:color w:val="auto"/>
        </w:rPr>
        <w:t xml:space="preserve"> </w:t>
      </w:r>
      <w:r w:rsidRPr="004E08F3">
        <w:rPr>
          <w:rFonts w:cs="Arial"/>
          <w:color w:val="auto"/>
        </w:rPr>
        <w:t>Avec cette expansion, nous réaffirmons notre volonté de proposer des solutions innovantes en matière de matériaux pour des applications exigeantes, et de nous développer à long terme en tant que partenaire fiable pour nos clients. »</w:t>
      </w:r>
    </w:p>
    <w:p w14:paraId="48830BFF" w14:textId="77777777" w:rsidR="00FA77F0" w:rsidRPr="004E08F3" w:rsidRDefault="008E74D6" w:rsidP="00B76382">
      <w:pPr>
        <w:spacing w:before="240" w:after="100" w:afterAutospacing="1" w:line="240" w:lineRule="auto"/>
        <w:rPr>
          <w:rFonts w:cs="Arial"/>
          <w:color w:val="auto"/>
        </w:rPr>
      </w:pPr>
      <w:r w:rsidRPr="004E08F3">
        <w:rPr>
          <w:rFonts w:eastAsiaTheme="minorHAnsi" w:cstheme="minorBidi"/>
          <w:noProof/>
          <w:color w:val="auto"/>
          <w:sz w:val="20"/>
          <w:szCs w:val="22"/>
        </w:rPr>
        <w:lastRenderedPageBreak/>
        <w:drawing>
          <wp:inline distT="0" distB="0" distL="0" distR="0" wp14:anchorId="5583AEDD" wp14:editId="1D8A1D5D">
            <wp:extent cx="5400000" cy="2545200"/>
            <wp:effectExtent l="0" t="0" r="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a:picLocks noChangeAspect="1"/>
                    </pic:cNvPicPr>
                  </pic:nvPicPr>
                  <pic:blipFill>
                    <a:blip r:embed="rId8"/>
                    <a:stretch>
                      <a:fillRect/>
                    </a:stretch>
                  </pic:blipFill>
                  <pic:spPr>
                    <a:xfrm>
                      <a:off x="0" y="0"/>
                      <a:ext cx="5400000" cy="2545200"/>
                    </a:xfrm>
                    <a:prstGeom prst="rect">
                      <a:avLst/>
                    </a:prstGeom>
                  </pic:spPr>
                </pic:pic>
              </a:graphicData>
            </a:graphic>
          </wp:inline>
        </w:drawing>
      </w:r>
    </w:p>
    <w:p w14:paraId="66701C5D" w14:textId="77777777" w:rsidR="005361C9" w:rsidRPr="004E08F3" w:rsidRDefault="008E74D6" w:rsidP="005361C9">
      <w:pPr>
        <w:spacing w:before="0" w:after="160" w:line="259" w:lineRule="auto"/>
        <w:rPr>
          <w:rFonts w:eastAsiaTheme="minorHAnsi" w:cstheme="minorBidi"/>
          <w:i/>
          <w:color w:val="auto"/>
          <w:sz w:val="20"/>
          <w:szCs w:val="22"/>
        </w:rPr>
      </w:pPr>
      <w:r w:rsidRPr="004E08F3">
        <w:rPr>
          <w:rFonts w:eastAsiaTheme="minorHAnsi" w:cstheme="minorBidi"/>
          <w:i/>
          <w:iCs/>
          <w:color w:val="auto"/>
          <w:sz w:val="20"/>
          <w:szCs w:val="22"/>
        </w:rPr>
        <w:t>TechnoCompound, usine de production à Bad Sobernheim en Allemagne © TechnoCompound</w:t>
      </w:r>
    </w:p>
    <w:p w14:paraId="75FCF6BF" w14:textId="77777777" w:rsidR="00FA77F0" w:rsidRPr="004E08F3" w:rsidRDefault="008E74D6" w:rsidP="00B76382">
      <w:pPr>
        <w:spacing w:after="160" w:line="259" w:lineRule="auto"/>
        <w:rPr>
          <w:rFonts w:eastAsiaTheme="minorHAnsi" w:cstheme="minorBidi"/>
          <w:color w:val="auto"/>
          <w:sz w:val="20"/>
          <w:szCs w:val="22"/>
        </w:rPr>
      </w:pPr>
      <w:r w:rsidRPr="004E08F3">
        <w:rPr>
          <w:rFonts w:eastAsiaTheme="minorHAnsi" w:cstheme="minorBidi"/>
          <w:noProof/>
          <w:color w:val="auto"/>
          <w:sz w:val="20"/>
          <w:szCs w:val="22"/>
        </w:rPr>
        <w:drawing>
          <wp:inline distT="0" distB="0" distL="0" distR="0" wp14:anchorId="7C68680B" wp14:editId="4C6C607C">
            <wp:extent cx="5400000" cy="4795200"/>
            <wp:effectExtent l="0" t="0" r="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t="5173" b="35749"/>
                    <a:stretch>
                      <a:fillRect/>
                    </a:stretch>
                  </pic:blipFill>
                  <pic:spPr bwMode="auto">
                    <a:xfrm>
                      <a:off x="0" y="0"/>
                      <a:ext cx="5400000" cy="4795200"/>
                    </a:xfrm>
                    <a:prstGeom prst="rect">
                      <a:avLst/>
                    </a:prstGeom>
                    <a:noFill/>
                    <a:ln>
                      <a:noFill/>
                    </a:ln>
                    <a:extLst>
                      <a:ext uri="{53640926-AAD7-44D8-BBD7-CCE9431645EC}">
                        <a14:shadowObscured xmlns:a14="http://schemas.microsoft.com/office/drawing/2010/main"/>
                      </a:ext>
                    </a:extLst>
                  </pic:spPr>
                </pic:pic>
              </a:graphicData>
            </a:graphic>
          </wp:inline>
        </w:drawing>
      </w:r>
    </w:p>
    <w:p w14:paraId="0492EADC" w14:textId="77777777" w:rsidR="005361C9" w:rsidRPr="004E08F3" w:rsidRDefault="008E74D6" w:rsidP="00FA77F0">
      <w:pPr>
        <w:spacing w:before="0" w:after="160" w:line="259" w:lineRule="auto"/>
        <w:rPr>
          <w:rFonts w:eastAsiaTheme="minorHAnsi" w:cstheme="minorBidi"/>
          <w:i/>
          <w:color w:val="auto"/>
          <w:sz w:val="20"/>
          <w:szCs w:val="22"/>
        </w:rPr>
      </w:pPr>
      <w:r w:rsidRPr="004E08F3">
        <w:rPr>
          <w:rFonts w:eastAsiaTheme="minorHAnsi" w:cstheme="minorBidi"/>
          <w:i/>
          <w:iCs/>
          <w:color w:val="auto"/>
          <w:sz w:val="20"/>
          <w:szCs w:val="22"/>
        </w:rPr>
        <w:t>Rifat Erden, Directeur des ventes et du marketing, à gauche, et Dirk Breitbach, Directeur général de TechnoCompound, à droite ©</w:t>
      </w:r>
      <w:r w:rsidRPr="004E08F3">
        <w:rPr>
          <w:rFonts w:eastAsiaTheme="minorHAnsi" w:cstheme="minorBidi"/>
          <w:color w:val="auto"/>
          <w:sz w:val="20"/>
          <w:szCs w:val="22"/>
        </w:rPr>
        <w:t xml:space="preserve"> </w:t>
      </w:r>
      <w:r w:rsidRPr="004E08F3">
        <w:rPr>
          <w:rFonts w:eastAsiaTheme="minorHAnsi" w:cstheme="minorBidi"/>
          <w:i/>
          <w:iCs/>
          <w:color w:val="auto"/>
          <w:sz w:val="20"/>
          <w:szCs w:val="22"/>
        </w:rPr>
        <w:t>TechnoCompound</w:t>
      </w:r>
    </w:p>
    <w:p w14:paraId="1348BBF0" w14:textId="77777777" w:rsidR="00FA77F0" w:rsidRPr="004E08F3" w:rsidRDefault="008E74D6" w:rsidP="00FA77F0">
      <w:pPr>
        <w:spacing w:before="0" w:after="160" w:line="259" w:lineRule="auto"/>
        <w:rPr>
          <w:rFonts w:eastAsiaTheme="minorHAnsi" w:cstheme="minorBidi"/>
          <w:color w:val="auto"/>
          <w:sz w:val="20"/>
          <w:szCs w:val="22"/>
        </w:rPr>
      </w:pPr>
      <w:r w:rsidRPr="004E08F3">
        <w:rPr>
          <w:rFonts w:eastAsiaTheme="minorHAnsi" w:cstheme="minorBidi"/>
          <w:noProof/>
          <w:color w:val="auto"/>
          <w:sz w:val="20"/>
          <w:szCs w:val="22"/>
        </w:rPr>
        <w:lastRenderedPageBreak/>
        <w:drawing>
          <wp:inline distT="0" distB="0" distL="0" distR="0" wp14:anchorId="74BE63DD" wp14:editId="440B9D32">
            <wp:extent cx="5399405" cy="3435928"/>
            <wp:effectExtent l="0" t="0" r="0" b="0"/>
            <wp:docPr id="185019246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92462" name="Grafik 1850192462"/>
                    <pic:cNvPicPr/>
                  </pic:nvPicPr>
                  <pic:blipFill rotWithShape="1">
                    <a:blip r:embed="rId10" cstate="print">
                      <a:extLst>
                        <a:ext uri="{28A0092B-C50C-407E-A947-70E740481C1C}">
                          <a14:useLocalDpi xmlns:a14="http://schemas.microsoft.com/office/drawing/2010/main" val="0"/>
                        </a:ext>
                      </a:extLst>
                    </a:blip>
                    <a:srcRect b="4547"/>
                    <a:stretch>
                      <a:fillRect/>
                    </a:stretch>
                  </pic:blipFill>
                  <pic:spPr bwMode="auto">
                    <a:xfrm>
                      <a:off x="0" y="0"/>
                      <a:ext cx="5400000" cy="3436307"/>
                    </a:xfrm>
                    <a:prstGeom prst="rect">
                      <a:avLst/>
                    </a:prstGeom>
                    <a:ln>
                      <a:noFill/>
                    </a:ln>
                    <a:extLst>
                      <a:ext uri="{53640926-AAD7-44D8-BBD7-CCE9431645EC}">
                        <a14:shadowObscured xmlns:a14="http://schemas.microsoft.com/office/drawing/2010/main"/>
                      </a:ext>
                    </a:extLst>
                  </pic:spPr>
                </pic:pic>
              </a:graphicData>
            </a:graphic>
          </wp:inline>
        </w:drawing>
      </w:r>
    </w:p>
    <w:p w14:paraId="685E9AA3" w14:textId="77777777" w:rsidR="005361C9" w:rsidRPr="004E08F3" w:rsidRDefault="008E74D6" w:rsidP="00B76382">
      <w:pPr>
        <w:spacing w:before="0" w:after="120" w:line="259" w:lineRule="auto"/>
        <w:rPr>
          <w:rFonts w:eastAsiaTheme="minorHAnsi" w:cstheme="minorBidi"/>
          <w:i/>
          <w:color w:val="auto"/>
          <w:sz w:val="20"/>
          <w:szCs w:val="22"/>
        </w:rPr>
      </w:pPr>
      <w:r w:rsidRPr="004E08F3">
        <w:rPr>
          <w:rFonts w:eastAsiaTheme="minorHAnsi" w:cstheme="minorBidi"/>
          <w:i/>
          <w:iCs/>
          <w:color w:val="auto"/>
          <w:sz w:val="20"/>
          <w:szCs w:val="22"/>
        </w:rPr>
        <w:t>Fils de fibre de verre continus comme matière première pour la fabrication de thermoplastiques renforcés de fibres de verre longues © TechnoCompound</w:t>
      </w:r>
    </w:p>
    <w:p w14:paraId="105F3EC0" w14:textId="77777777" w:rsidR="00FA77F0" w:rsidRPr="004E08F3" w:rsidRDefault="008E74D6" w:rsidP="00FA77F0">
      <w:pPr>
        <w:spacing w:before="120" w:line="240" w:lineRule="auto"/>
        <w:jc w:val="both"/>
        <w:rPr>
          <w:rFonts w:cs="Arial"/>
          <w:color w:val="auto"/>
          <w:sz w:val="18"/>
          <w:szCs w:val="18"/>
        </w:rPr>
      </w:pPr>
      <w:r w:rsidRPr="004E08F3">
        <w:rPr>
          <w:rFonts w:eastAsiaTheme="majorEastAsia" w:cs="Arial"/>
          <w:i/>
          <w:iCs/>
          <w:color w:val="auto"/>
          <w:sz w:val="18"/>
          <w:szCs w:val="18"/>
        </w:rPr>
        <w:t>La société TechnoCompound GmbH (www.technocompound.com), sise à Bad Sobernheim, en Allemagne, et appartenant au groupe Polymer (www.polymer-gruppe.de), est l’un des principaux fournisseurs européens de composés plastiques sur mesure, qui emploie 105 collaboratrices et collaborateurs. Elle dispose d’installations de production à la pointe de la technologie et réalise le compoundage, la transformation et la modification de polymères, avec une capacité de production de 60 000 t/an pour des applications spécifiques à la clientèle. La vaste gamme de produits en matière plastique modifiée sur le plan fonctionnel s’étend des produits de base aux composés techniques, en passant par les élastomères thermoplastiques.</w:t>
      </w:r>
    </w:p>
    <w:p w14:paraId="30F715EE" w14:textId="77777777" w:rsidR="00FA77F0" w:rsidRPr="004E08F3" w:rsidRDefault="008E74D6" w:rsidP="00FA77F0">
      <w:pPr>
        <w:spacing w:before="120" w:beforeAutospacing="1" w:line="240" w:lineRule="auto"/>
        <w:jc w:val="both"/>
        <w:rPr>
          <w:rFonts w:eastAsiaTheme="majorEastAsia" w:cs="Arial"/>
          <w:iCs/>
          <w:color w:val="auto"/>
          <w:sz w:val="18"/>
          <w:szCs w:val="18"/>
        </w:rPr>
      </w:pPr>
      <w:r w:rsidRPr="004E08F3">
        <w:rPr>
          <w:rFonts w:eastAsiaTheme="majorEastAsia" w:cs="Arial"/>
          <w:i/>
          <w:iCs/>
          <w:color w:val="auto"/>
          <w:sz w:val="18"/>
          <w:szCs w:val="18"/>
        </w:rPr>
        <w:t xml:space="preserve">Ces plastiques sont principalement utilisés dans l’industrie automobile et chez les équipementiers. Toutefois, l’entreprise propose également des solutions destinées aux secteurs de la logistique, de l’emballage et de la construction. Grâce à sa structure organisationnelle allégée et à ses installations modernes au rendement optimisé, la société TechnoCompound GmbH est en mesure de proposer ses produits à des prix compétitifs. L’offre de services complets comprend l’assistance technique sur site ainsi que le développement de composés personnalisés et adaptés à une application spécifique. </w:t>
      </w:r>
    </w:p>
    <w:p w14:paraId="12111E8F" w14:textId="77777777" w:rsidR="00FA77F0" w:rsidRPr="004E08F3" w:rsidRDefault="008E74D6" w:rsidP="00FA77F0">
      <w:pPr>
        <w:spacing w:before="120" w:beforeAutospacing="1" w:line="240" w:lineRule="auto"/>
        <w:jc w:val="both"/>
        <w:rPr>
          <w:rFonts w:eastAsiaTheme="majorEastAsia" w:cs="Arial"/>
          <w:iCs/>
          <w:color w:val="auto"/>
          <w:sz w:val="18"/>
          <w:szCs w:val="18"/>
        </w:rPr>
      </w:pPr>
      <w:r w:rsidRPr="004E08F3">
        <w:rPr>
          <w:rFonts w:eastAsiaTheme="majorEastAsia" w:cs="Arial"/>
          <w:i/>
          <w:iCs/>
          <w:color w:val="auto"/>
          <w:sz w:val="18"/>
          <w:szCs w:val="18"/>
        </w:rPr>
        <w:t>Le groupe Polymer, dont le siège se situe à Bad Sobernheim, en Allemagne, est né avec la société Polymer-Chemie GmbH fondée en 1973, une entreprise familiale indépendante de tout groupe qui se consacre au compoundage, à la transformation et à la modification des matières plastiques. Flexible et performante, elle accompagne sa clientèle de plus en plus à l’échelle mondiale grâce à des produits innovants et sur mesure d’une qualité exceptionnelle. Aujourd’hui, le groupe Polymer regroupe les entreprises de compoundage Polymer-Chemie, Polymer-Chemie Rus, Sun Alloys Europe, TechnoCompound, PolyMIM et SoBiCo, et emploie plus de 500 collaboratrices et collaborateurs.</w:t>
      </w:r>
    </w:p>
    <w:p w14:paraId="35CE1849" w14:textId="77777777" w:rsidR="00FA77F0" w:rsidRPr="004E08F3" w:rsidRDefault="008E74D6" w:rsidP="00FA77F0">
      <w:pPr>
        <w:spacing w:before="240" w:after="160" w:line="240" w:lineRule="auto"/>
        <w:rPr>
          <w:rFonts w:eastAsiaTheme="minorHAnsi" w:cstheme="minorBidi"/>
          <w:color w:val="auto"/>
          <w:sz w:val="22"/>
          <w:szCs w:val="22"/>
          <w:u w:val="single"/>
        </w:rPr>
      </w:pPr>
      <w:r w:rsidRPr="004E08F3">
        <w:rPr>
          <w:rFonts w:eastAsiaTheme="minorHAnsi" w:cstheme="minorBidi"/>
          <w:color w:val="auto"/>
          <w:sz w:val="22"/>
          <w:szCs w:val="22"/>
          <w:u w:val="single"/>
        </w:rPr>
        <w:t>Pour plus d’informations :</w:t>
      </w:r>
    </w:p>
    <w:p w14:paraId="3E86752C" w14:textId="77777777" w:rsidR="00FA77F0" w:rsidRPr="004E08F3" w:rsidRDefault="008E74D6" w:rsidP="00FA77F0">
      <w:pPr>
        <w:spacing w:before="0" w:after="120" w:line="240" w:lineRule="auto"/>
        <w:ind w:left="567"/>
        <w:rPr>
          <w:rFonts w:eastAsiaTheme="minorHAnsi" w:cstheme="minorBidi"/>
          <w:color w:val="auto"/>
          <w:sz w:val="22"/>
          <w:szCs w:val="22"/>
        </w:rPr>
      </w:pPr>
      <w:r w:rsidRPr="004E08F3">
        <w:rPr>
          <w:rFonts w:eastAsiaTheme="minorHAnsi" w:cstheme="minorBidi"/>
          <w:color w:val="auto"/>
          <w:sz w:val="22"/>
          <w:szCs w:val="22"/>
        </w:rPr>
        <w:t>Rifat Erden, Directeur des ventes et du marketing chez TechnoCompound GmbH,</w:t>
      </w:r>
      <w:r w:rsidRPr="004E08F3">
        <w:rPr>
          <w:rFonts w:eastAsiaTheme="minorHAnsi" w:cstheme="minorBidi"/>
          <w:color w:val="auto"/>
          <w:sz w:val="22"/>
          <w:szCs w:val="22"/>
        </w:rPr>
        <w:br/>
        <w:t>Am Gefach, D-55566 Bad Sobernheim</w:t>
      </w:r>
      <w:r w:rsidRPr="004E08F3">
        <w:rPr>
          <w:rFonts w:eastAsiaTheme="minorHAnsi" w:cstheme="minorBidi"/>
          <w:color w:val="auto"/>
          <w:sz w:val="22"/>
          <w:szCs w:val="22"/>
        </w:rPr>
        <w:br/>
        <w:t>Tél. :  +49 (0) 67 51/8 56 05-472, rifat.erden@technocompound.com</w:t>
      </w:r>
    </w:p>
    <w:p w14:paraId="4749EBDB" w14:textId="77777777" w:rsidR="00FA77F0" w:rsidRPr="004E08F3" w:rsidRDefault="008E74D6" w:rsidP="00FA77F0">
      <w:pPr>
        <w:spacing w:before="0" w:after="160" w:line="240" w:lineRule="auto"/>
        <w:rPr>
          <w:rFonts w:eastAsiaTheme="minorHAnsi" w:cstheme="minorBidi"/>
          <w:color w:val="auto"/>
          <w:sz w:val="22"/>
          <w:szCs w:val="22"/>
          <w:u w:val="single"/>
        </w:rPr>
      </w:pPr>
      <w:r w:rsidRPr="004E08F3">
        <w:rPr>
          <w:rFonts w:eastAsiaTheme="minorHAnsi" w:cstheme="minorBidi"/>
          <w:color w:val="auto"/>
          <w:sz w:val="22"/>
          <w:szCs w:val="22"/>
          <w:u w:val="single"/>
        </w:rPr>
        <w:t>Contact éditorial et justificatifs :</w:t>
      </w:r>
    </w:p>
    <w:p w14:paraId="79EA0659" w14:textId="77777777" w:rsidR="00FA77F0" w:rsidRPr="004E08F3" w:rsidRDefault="008E74D6" w:rsidP="00FA77F0">
      <w:pPr>
        <w:spacing w:before="0" w:after="120" w:line="240" w:lineRule="auto"/>
        <w:ind w:left="567"/>
        <w:rPr>
          <w:rFonts w:eastAsiaTheme="minorHAnsi" w:cstheme="minorBidi"/>
          <w:color w:val="auto"/>
          <w:sz w:val="22"/>
          <w:szCs w:val="22"/>
        </w:rPr>
      </w:pPr>
      <w:r w:rsidRPr="004E08F3">
        <w:rPr>
          <w:rFonts w:eastAsiaTheme="minorHAnsi" w:cstheme="minorBidi"/>
          <w:color w:val="auto"/>
          <w:sz w:val="22"/>
          <w:szCs w:val="22"/>
        </w:rPr>
        <w:t>Jörg Wolters, KONSENS Public Relations GmbH &amp; Co. KG,</w:t>
      </w:r>
      <w:r w:rsidRPr="004E08F3">
        <w:rPr>
          <w:rFonts w:eastAsiaTheme="minorHAnsi" w:cstheme="minorBidi"/>
          <w:color w:val="auto"/>
          <w:sz w:val="22"/>
          <w:szCs w:val="22"/>
        </w:rPr>
        <w:br/>
        <w:t>Hans-Böckler-Straße 20, D-63811 Stockstadt am Main</w:t>
      </w:r>
      <w:r w:rsidRPr="004E08F3">
        <w:rPr>
          <w:rFonts w:eastAsiaTheme="minorHAnsi" w:cstheme="minorBidi"/>
          <w:color w:val="auto"/>
          <w:sz w:val="22"/>
          <w:szCs w:val="22"/>
        </w:rPr>
        <w:br/>
        <w:t xml:space="preserve">Tél. :  +49 (0) 60 27/99 00 5-13, </w:t>
      </w:r>
      <w:hyperlink r:id="rId11" w:history="1">
        <w:r w:rsidR="00FA77F0" w:rsidRPr="004E08F3">
          <w:rPr>
            <w:rFonts w:eastAsiaTheme="minorHAnsi" w:cstheme="minorBidi"/>
            <w:color w:val="auto"/>
            <w:sz w:val="22"/>
            <w:szCs w:val="22"/>
          </w:rPr>
          <w:t>mail@konsens.de</w:t>
        </w:r>
      </w:hyperlink>
    </w:p>
    <w:p w14:paraId="220283B6" w14:textId="77777777" w:rsidR="00FA77F0" w:rsidRPr="005361C9" w:rsidRDefault="008E74D6" w:rsidP="005361C9">
      <w:pPr>
        <w:pBdr>
          <w:top w:val="single" w:sz="4" w:space="1" w:color="auto"/>
          <w:left w:val="single" w:sz="4" w:space="4" w:color="auto"/>
          <w:bottom w:val="single" w:sz="4" w:space="1" w:color="auto"/>
          <w:right w:val="single" w:sz="4" w:space="4" w:color="auto"/>
        </w:pBdr>
        <w:spacing w:before="0" w:after="160" w:line="240" w:lineRule="auto"/>
        <w:rPr>
          <w:rFonts w:eastAsiaTheme="minorHAnsi" w:cstheme="minorBidi"/>
          <w:color w:val="auto"/>
          <w:sz w:val="22"/>
          <w:szCs w:val="22"/>
        </w:rPr>
      </w:pPr>
      <w:r w:rsidRPr="004E08F3">
        <w:rPr>
          <w:rFonts w:eastAsiaTheme="minorHAnsi" w:cstheme="minorBidi"/>
          <w:color w:val="auto"/>
          <w:sz w:val="22"/>
          <w:szCs w:val="22"/>
        </w:rPr>
        <w:t>Vous pouvez télécharger le texte et l’image de ce communiqué de presse</w:t>
      </w:r>
      <w:r w:rsidRPr="004E08F3">
        <w:rPr>
          <w:rFonts w:eastAsiaTheme="minorHAnsi" w:cstheme="minorBidi"/>
          <w:color w:val="auto"/>
          <w:sz w:val="22"/>
          <w:szCs w:val="22"/>
          <w:u w:val="single"/>
        </w:rPr>
        <w:t xml:space="preserve"> </w:t>
      </w:r>
      <w:r w:rsidRPr="004E08F3">
        <w:rPr>
          <w:rFonts w:eastAsiaTheme="minorHAnsi" w:cstheme="minorBidi"/>
          <w:color w:val="auto"/>
          <w:sz w:val="22"/>
          <w:szCs w:val="22"/>
        </w:rPr>
        <w:t xml:space="preserve">à l’adresse suivante : </w:t>
      </w:r>
      <w:r w:rsidRPr="004E08F3">
        <w:rPr>
          <w:rFonts w:eastAsiaTheme="minorHAnsi" w:cstheme="minorBidi"/>
          <w:b/>
          <w:bCs/>
          <w:i/>
          <w:iCs/>
          <w:color w:val="auto"/>
          <w:sz w:val="22"/>
          <w:szCs w:val="22"/>
        </w:rPr>
        <w:t>https://www.konsens.de/pressemitteilungen/technocompound-gmbh</w:t>
      </w:r>
    </w:p>
    <w:sectPr w:rsidR="00FA77F0" w:rsidRPr="005361C9" w:rsidSect="00B76382">
      <w:headerReference w:type="default" r:id="rId12"/>
      <w:headerReference w:type="first" r:id="rId13"/>
      <w:pgSz w:w="11907" w:h="16840" w:code="9"/>
      <w:pgMar w:top="1418" w:right="1701" w:bottom="709" w:left="1701" w:header="624"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83F3A" w14:textId="77777777" w:rsidR="00825614" w:rsidRPr="004E08F3" w:rsidRDefault="00825614">
      <w:pPr>
        <w:spacing w:before="0" w:line="240" w:lineRule="auto"/>
      </w:pPr>
      <w:r w:rsidRPr="004E08F3">
        <w:separator/>
      </w:r>
    </w:p>
  </w:endnote>
  <w:endnote w:type="continuationSeparator" w:id="0">
    <w:p w14:paraId="7E6CAB3E" w14:textId="77777777" w:rsidR="00825614" w:rsidRPr="004E08F3" w:rsidRDefault="00825614">
      <w:pPr>
        <w:spacing w:before="0" w:line="240" w:lineRule="auto"/>
      </w:pPr>
      <w:r w:rsidRPr="004E08F3">
        <w:continuationSeparator/>
      </w:r>
    </w:p>
  </w:endnote>
  <w:endnote w:type="continuationNotice" w:id="1">
    <w:p w14:paraId="528FC499" w14:textId="77777777" w:rsidR="00825614" w:rsidRPr="004E08F3" w:rsidRDefault="00825614">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61C22" w14:textId="77777777" w:rsidR="00825614" w:rsidRPr="004E08F3" w:rsidRDefault="00825614">
      <w:pPr>
        <w:spacing w:before="0" w:line="240" w:lineRule="auto"/>
      </w:pPr>
      <w:r w:rsidRPr="004E08F3">
        <w:separator/>
      </w:r>
    </w:p>
  </w:footnote>
  <w:footnote w:type="continuationSeparator" w:id="0">
    <w:p w14:paraId="7F450D58" w14:textId="77777777" w:rsidR="00825614" w:rsidRPr="004E08F3" w:rsidRDefault="00825614">
      <w:pPr>
        <w:spacing w:before="0" w:line="240" w:lineRule="auto"/>
      </w:pPr>
      <w:r w:rsidRPr="004E08F3">
        <w:continuationSeparator/>
      </w:r>
    </w:p>
  </w:footnote>
  <w:footnote w:type="continuationNotice" w:id="1">
    <w:p w14:paraId="70679BA9" w14:textId="77777777" w:rsidR="00825614" w:rsidRPr="004E08F3" w:rsidRDefault="00825614">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A257" w14:textId="69399D63" w:rsidR="00F559DC" w:rsidRPr="004E08F3" w:rsidRDefault="008E74D6">
    <w:pPr>
      <w:pStyle w:val="Kopfzeile"/>
      <w:pBdr>
        <w:bottom w:val="single" w:sz="4" w:space="0" w:color="auto"/>
      </w:pBdr>
      <w:jc w:val="left"/>
    </w:pPr>
    <w:r w:rsidRPr="004E08F3">
      <w:t>Page </w:t>
    </w:r>
    <w:r w:rsidRPr="004E08F3">
      <w:fldChar w:fldCharType="begin"/>
    </w:r>
    <w:r w:rsidRPr="004E08F3">
      <w:instrText xml:space="preserve"> PAGE </w:instrText>
    </w:r>
    <w:r w:rsidRPr="004E08F3">
      <w:fldChar w:fldCharType="separate"/>
    </w:r>
    <w:r w:rsidRPr="004E08F3">
      <w:t>3</w:t>
    </w:r>
    <w:r w:rsidRPr="004E08F3">
      <w:fldChar w:fldCharType="end"/>
    </w:r>
    <w:r w:rsidRPr="004E08F3">
      <w:t xml:space="preserve"> Lire le communiqué de presse</w:t>
    </w:r>
    <w:r w:rsidR="004E08F3" w:rsidRPr="004E08F3">
      <w:t xml:space="preserve"> : </w:t>
    </w:r>
    <w:r w:rsidRPr="004E08F3">
      <w:t>TechnoCompound augmente ses capacités de production de fibres de verre longues de 4 800 tonnes par 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4951"/>
    </w:tblGrid>
    <w:tr w:rsidR="00852BD5" w:rsidRPr="004E08F3" w14:paraId="05A0C1E7" w14:textId="77777777" w:rsidTr="004E08F3">
      <w:tc>
        <w:tcPr>
          <w:tcW w:w="3544" w:type="dxa"/>
        </w:tcPr>
        <w:p w14:paraId="40AD2BB1" w14:textId="77777777" w:rsidR="00F559DC" w:rsidRPr="004E08F3" w:rsidRDefault="00F559DC">
          <w:pPr>
            <w:pStyle w:val="Kopfzeile"/>
            <w:pBdr>
              <w:bottom w:val="none" w:sz="0" w:space="0" w:color="auto"/>
            </w:pBdr>
            <w:jc w:val="left"/>
            <w:rPr>
              <w:sz w:val="44"/>
              <w:szCs w:val="44"/>
            </w:rPr>
          </w:pPr>
        </w:p>
      </w:tc>
      <w:tc>
        <w:tcPr>
          <w:tcW w:w="4951" w:type="dxa"/>
        </w:tcPr>
        <w:p w14:paraId="4E71FA6B" w14:textId="77777777" w:rsidR="00F559DC" w:rsidRPr="004E08F3" w:rsidRDefault="008E74D6">
          <w:pPr>
            <w:pStyle w:val="Kopfzeile"/>
            <w:pBdr>
              <w:bottom w:val="none" w:sz="0" w:space="0" w:color="auto"/>
            </w:pBdr>
            <w:tabs>
              <w:tab w:val="clear" w:pos="4536"/>
              <w:tab w:val="center" w:pos="4006"/>
            </w:tabs>
            <w:jc w:val="right"/>
            <w:rPr>
              <w:sz w:val="16"/>
              <w:szCs w:val="16"/>
            </w:rPr>
          </w:pPr>
          <w:r w:rsidRPr="004E08F3">
            <w:rPr>
              <w:noProof/>
              <w:sz w:val="16"/>
              <w:szCs w:val="16"/>
            </w:rPr>
            <w:drawing>
              <wp:inline distT="0" distB="0" distL="0" distR="0" wp14:anchorId="78311AFE" wp14:editId="590ACA71">
                <wp:extent cx="2845640" cy="554860"/>
                <wp:effectExtent l="0" t="0" r="0" b="0"/>
                <wp:docPr id="31367480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674804" name="Grafik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888066" cy="563133"/>
                        </a:xfrm>
                        <a:prstGeom prst="rect">
                          <a:avLst/>
                        </a:prstGeom>
                        <a:noFill/>
                      </pic:spPr>
                    </pic:pic>
                  </a:graphicData>
                </a:graphic>
              </wp:inline>
            </w:drawing>
          </w:r>
        </w:p>
      </w:tc>
    </w:tr>
    <w:tr w:rsidR="00852BD5" w:rsidRPr="004E08F3" w14:paraId="3DF816D8" w14:textId="77777777" w:rsidTr="004E08F3">
      <w:tc>
        <w:tcPr>
          <w:tcW w:w="3544" w:type="dxa"/>
          <w:vAlign w:val="bottom"/>
        </w:tcPr>
        <w:p w14:paraId="033B6508" w14:textId="77777777" w:rsidR="00F559DC" w:rsidRPr="004E08F3" w:rsidRDefault="00F559DC">
          <w:pPr>
            <w:pStyle w:val="Kopfzeile"/>
            <w:pBdr>
              <w:bottom w:val="none" w:sz="0" w:space="0" w:color="auto"/>
            </w:pBdr>
            <w:jc w:val="left"/>
            <w:rPr>
              <w:sz w:val="44"/>
              <w:szCs w:val="44"/>
            </w:rPr>
          </w:pPr>
        </w:p>
      </w:tc>
      <w:tc>
        <w:tcPr>
          <w:tcW w:w="4951" w:type="dxa"/>
          <w:vAlign w:val="bottom"/>
        </w:tcPr>
        <w:p w14:paraId="189F9A88" w14:textId="77777777" w:rsidR="00F559DC" w:rsidRPr="004E08F3" w:rsidRDefault="008E74D6">
          <w:pPr>
            <w:pStyle w:val="Kopfzeile"/>
            <w:pBdr>
              <w:bottom w:val="none" w:sz="0" w:space="0" w:color="auto"/>
            </w:pBdr>
            <w:jc w:val="right"/>
            <w:rPr>
              <w:sz w:val="44"/>
              <w:szCs w:val="44"/>
            </w:rPr>
          </w:pPr>
          <w:r w:rsidRPr="004E08F3">
            <w:rPr>
              <w:sz w:val="44"/>
              <w:szCs w:val="44"/>
            </w:rPr>
            <w:t>Communiqué de presse</w:t>
          </w:r>
        </w:p>
      </w:tc>
    </w:tr>
  </w:tbl>
  <w:p w14:paraId="7191393A" w14:textId="77777777" w:rsidR="00F559DC" w:rsidRPr="004E08F3" w:rsidRDefault="00F559DC">
    <w:pPr>
      <w:pStyle w:val="Kopfzeile"/>
      <w:pBdr>
        <w:bottom w:val="none" w:sz="0" w:space="0" w:color="auto"/>
      </w:pBdr>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5pt;height:44.7pt" o:bullet="t">
        <v:imagedata r:id="rId1" o:title="art8998"/>
      </v:shape>
    </w:pict>
  </w:numPicBullet>
  <w:abstractNum w:abstractNumId="0" w15:restartNumberingAfterBreak="0">
    <w:nsid w:val="FFFFFF89"/>
    <w:multiLevelType w:val="singleLevel"/>
    <w:tmpl w:val="0E24D54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F969EC"/>
    <w:multiLevelType w:val="hybridMultilevel"/>
    <w:tmpl w:val="7F08C9DC"/>
    <w:lvl w:ilvl="0" w:tplc="7C4AC108">
      <w:start w:val="1"/>
      <w:numFmt w:val="bullet"/>
      <w:lvlText w:val=""/>
      <w:lvlJc w:val="left"/>
      <w:pPr>
        <w:ind w:left="720" w:hanging="360"/>
      </w:pPr>
      <w:rPr>
        <w:rFonts w:ascii="Symbol" w:hAnsi="Symbol" w:hint="default"/>
      </w:rPr>
    </w:lvl>
    <w:lvl w:ilvl="1" w:tplc="FCB66906">
      <w:start w:val="1"/>
      <w:numFmt w:val="bullet"/>
      <w:lvlText w:val="o"/>
      <w:lvlJc w:val="left"/>
      <w:pPr>
        <w:ind w:left="1440" w:hanging="360"/>
      </w:pPr>
      <w:rPr>
        <w:rFonts w:ascii="Courier New" w:hAnsi="Courier New" w:cs="Courier New" w:hint="default"/>
      </w:rPr>
    </w:lvl>
    <w:lvl w:ilvl="2" w:tplc="8744C69C">
      <w:start w:val="1"/>
      <w:numFmt w:val="bullet"/>
      <w:lvlText w:val=""/>
      <w:lvlJc w:val="left"/>
      <w:pPr>
        <w:ind w:left="2160" w:hanging="360"/>
      </w:pPr>
      <w:rPr>
        <w:rFonts w:ascii="Wingdings" w:hAnsi="Wingdings" w:hint="default"/>
      </w:rPr>
    </w:lvl>
    <w:lvl w:ilvl="3" w:tplc="E3D2925C">
      <w:start w:val="1"/>
      <w:numFmt w:val="bullet"/>
      <w:lvlText w:val=""/>
      <w:lvlJc w:val="left"/>
      <w:pPr>
        <w:ind w:left="2880" w:hanging="360"/>
      </w:pPr>
      <w:rPr>
        <w:rFonts w:ascii="Symbol" w:hAnsi="Symbol" w:hint="default"/>
      </w:rPr>
    </w:lvl>
    <w:lvl w:ilvl="4" w:tplc="78F275A4">
      <w:start w:val="1"/>
      <w:numFmt w:val="bullet"/>
      <w:lvlText w:val="o"/>
      <w:lvlJc w:val="left"/>
      <w:pPr>
        <w:ind w:left="3600" w:hanging="360"/>
      </w:pPr>
      <w:rPr>
        <w:rFonts w:ascii="Courier New" w:hAnsi="Courier New" w:cs="Courier New" w:hint="default"/>
      </w:rPr>
    </w:lvl>
    <w:lvl w:ilvl="5" w:tplc="826A8002">
      <w:start w:val="1"/>
      <w:numFmt w:val="bullet"/>
      <w:lvlText w:val=""/>
      <w:lvlJc w:val="left"/>
      <w:pPr>
        <w:ind w:left="4320" w:hanging="360"/>
      </w:pPr>
      <w:rPr>
        <w:rFonts w:ascii="Wingdings" w:hAnsi="Wingdings" w:hint="default"/>
      </w:rPr>
    </w:lvl>
    <w:lvl w:ilvl="6" w:tplc="302A27C4">
      <w:start w:val="1"/>
      <w:numFmt w:val="bullet"/>
      <w:lvlText w:val=""/>
      <w:lvlJc w:val="left"/>
      <w:pPr>
        <w:ind w:left="5040" w:hanging="360"/>
      </w:pPr>
      <w:rPr>
        <w:rFonts w:ascii="Symbol" w:hAnsi="Symbol" w:hint="default"/>
      </w:rPr>
    </w:lvl>
    <w:lvl w:ilvl="7" w:tplc="E1E83600">
      <w:start w:val="1"/>
      <w:numFmt w:val="bullet"/>
      <w:lvlText w:val="o"/>
      <w:lvlJc w:val="left"/>
      <w:pPr>
        <w:ind w:left="5760" w:hanging="360"/>
      </w:pPr>
      <w:rPr>
        <w:rFonts w:ascii="Courier New" w:hAnsi="Courier New" w:cs="Courier New" w:hint="default"/>
      </w:rPr>
    </w:lvl>
    <w:lvl w:ilvl="8" w:tplc="217ACB4A">
      <w:start w:val="1"/>
      <w:numFmt w:val="bullet"/>
      <w:lvlText w:val=""/>
      <w:lvlJc w:val="left"/>
      <w:pPr>
        <w:ind w:left="6480" w:hanging="360"/>
      </w:pPr>
      <w:rPr>
        <w:rFonts w:ascii="Wingdings" w:hAnsi="Wingdings" w:hint="default"/>
      </w:rPr>
    </w:lvl>
  </w:abstractNum>
  <w:abstractNum w:abstractNumId="2" w15:restartNumberingAfterBreak="0">
    <w:nsid w:val="1004230B"/>
    <w:multiLevelType w:val="hybridMultilevel"/>
    <w:tmpl w:val="25F8E9B4"/>
    <w:lvl w:ilvl="0" w:tplc="9ED870EA">
      <w:start w:val="1"/>
      <w:numFmt w:val="bullet"/>
      <w:lvlText w:val=""/>
      <w:lvlJc w:val="left"/>
      <w:pPr>
        <w:ind w:left="360" w:hanging="360"/>
      </w:pPr>
      <w:rPr>
        <w:rFonts w:ascii="Symbol" w:hAnsi="Symbol" w:hint="default"/>
      </w:rPr>
    </w:lvl>
    <w:lvl w:ilvl="1" w:tplc="63A66718">
      <w:start w:val="1"/>
      <w:numFmt w:val="bullet"/>
      <w:lvlText w:val="o"/>
      <w:lvlJc w:val="left"/>
      <w:pPr>
        <w:ind w:left="1080" w:hanging="360"/>
      </w:pPr>
      <w:rPr>
        <w:rFonts w:ascii="Courier New" w:hAnsi="Courier New" w:cs="Courier New" w:hint="default"/>
      </w:rPr>
    </w:lvl>
    <w:lvl w:ilvl="2" w:tplc="7A70929C" w:tentative="1">
      <w:start w:val="1"/>
      <w:numFmt w:val="bullet"/>
      <w:lvlText w:val=""/>
      <w:lvlJc w:val="left"/>
      <w:pPr>
        <w:ind w:left="1800" w:hanging="360"/>
      </w:pPr>
      <w:rPr>
        <w:rFonts w:ascii="Wingdings" w:hAnsi="Wingdings" w:hint="default"/>
      </w:rPr>
    </w:lvl>
    <w:lvl w:ilvl="3" w:tplc="D48A734C" w:tentative="1">
      <w:start w:val="1"/>
      <w:numFmt w:val="bullet"/>
      <w:lvlText w:val=""/>
      <w:lvlJc w:val="left"/>
      <w:pPr>
        <w:ind w:left="2520" w:hanging="360"/>
      </w:pPr>
      <w:rPr>
        <w:rFonts w:ascii="Symbol" w:hAnsi="Symbol" w:hint="default"/>
      </w:rPr>
    </w:lvl>
    <w:lvl w:ilvl="4" w:tplc="B0760CC2" w:tentative="1">
      <w:start w:val="1"/>
      <w:numFmt w:val="bullet"/>
      <w:lvlText w:val="o"/>
      <w:lvlJc w:val="left"/>
      <w:pPr>
        <w:ind w:left="3240" w:hanging="360"/>
      </w:pPr>
      <w:rPr>
        <w:rFonts w:ascii="Courier New" w:hAnsi="Courier New" w:cs="Courier New" w:hint="default"/>
      </w:rPr>
    </w:lvl>
    <w:lvl w:ilvl="5" w:tplc="AFE6AC1A" w:tentative="1">
      <w:start w:val="1"/>
      <w:numFmt w:val="bullet"/>
      <w:lvlText w:val=""/>
      <w:lvlJc w:val="left"/>
      <w:pPr>
        <w:ind w:left="3960" w:hanging="360"/>
      </w:pPr>
      <w:rPr>
        <w:rFonts w:ascii="Wingdings" w:hAnsi="Wingdings" w:hint="default"/>
      </w:rPr>
    </w:lvl>
    <w:lvl w:ilvl="6" w:tplc="CF70744C" w:tentative="1">
      <w:start w:val="1"/>
      <w:numFmt w:val="bullet"/>
      <w:lvlText w:val=""/>
      <w:lvlJc w:val="left"/>
      <w:pPr>
        <w:ind w:left="4680" w:hanging="360"/>
      </w:pPr>
      <w:rPr>
        <w:rFonts w:ascii="Symbol" w:hAnsi="Symbol" w:hint="default"/>
      </w:rPr>
    </w:lvl>
    <w:lvl w:ilvl="7" w:tplc="EB72FBE4" w:tentative="1">
      <w:start w:val="1"/>
      <w:numFmt w:val="bullet"/>
      <w:lvlText w:val="o"/>
      <w:lvlJc w:val="left"/>
      <w:pPr>
        <w:ind w:left="5400" w:hanging="360"/>
      </w:pPr>
      <w:rPr>
        <w:rFonts w:ascii="Courier New" w:hAnsi="Courier New" w:cs="Courier New" w:hint="default"/>
      </w:rPr>
    </w:lvl>
    <w:lvl w:ilvl="8" w:tplc="1A741624" w:tentative="1">
      <w:start w:val="1"/>
      <w:numFmt w:val="bullet"/>
      <w:lvlText w:val=""/>
      <w:lvlJc w:val="left"/>
      <w:pPr>
        <w:ind w:left="6120" w:hanging="360"/>
      </w:pPr>
      <w:rPr>
        <w:rFonts w:ascii="Wingdings" w:hAnsi="Wingdings" w:hint="default"/>
      </w:rPr>
    </w:lvl>
  </w:abstractNum>
  <w:abstractNum w:abstractNumId="3" w15:restartNumberingAfterBreak="0">
    <w:nsid w:val="13B12ADC"/>
    <w:multiLevelType w:val="hybridMultilevel"/>
    <w:tmpl w:val="CEFE9368"/>
    <w:lvl w:ilvl="0" w:tplc="A7FACEAE">
      <w:start w:val="1"/>
      <w:numFmt w:val="bullet"/>
      <w:lvlText w:val=""/>
      <w:lvlPicBulletId w:val="0"/>
      <w:lvlJc w:val="left"/>
      <w:pPr>
        <w:tabs>
          <w:tab w:val="num" w:pos="720"/>
        </w:tabs>
        <w:ind w:left="720" w:hanging="360"/>
      </w:pPr>
      <w:rPr>
        <w:rFonts w:ascii="Symbol" w:hAnsi="Symbol" w:hint="default"/>
      </w:rPr>
    </w:lvl>
    <w:lvl w:ilvl="1" w:tplc="80BE6DBE">
      <w:start w:val="1"/>
      <w:numFmt w:val="bullet"/>
      <w:lvlText w:val=""/>
      <w:lvlPicBulletId w:val="0"/>
      <w:lvlJc w:val="left"/>
      <w:pPr>
        <w:tabs>
          <w:tab w:val="num" w:pos="1440"/>
        </w:tabs>
        <w:ind w:left="1440" w:hanging="360"/>
      </w:pPr>
      <w:rPr>
        <w:rFonts w:ascii="Symbol" w:hAnsi="Symbol" w:hint="default"/>
      </w:rPr>
    </w:lvl>
    <w:lvl w:ilvl="2" w:tplc="A38A513C" w:tentative="1">
      <w:start w:val="1"/>
      <w:numFmt w:val="bullet"/>
      <w:lvlText w:val=""/>
      <w:lvlPicBulletId w:val="0"/>
      <w:lvlJc w:val="left"/>
      <w:pPr>
        <w:tabs>
          <w:tab w:val="num" w:pos="2160"/>
        </w:tabs>
        <w:ind w:left="2160" w:hanging="360"/>
      </w:pPr>
      <w:rPr>
        <w:rFonts w:ascii="Symbol" w:hAnsi="Symbol" w:hint="default"/>
      </w:rPr>
    </w:lvl>
    <w:lvl w:ilvl="3" w:tplc="F942F274" w:tentative="1">
      <w:start w:val="1"/>
      <w:numFmt w:val="bullet"/>
      <w:lvlText w:val=""/>
      <w:lvlPicBulletId w:val="0"/>
      <w:lvlJc w:val="left"/>
      <w:pPr>
        <w:tabs>
          <w:tab w:val="num" w:pos="2880"/>
        </w:tabs>
        <w:ind w:left="2880" w:hanging="360"/>
      </w:pPr>
      <w:rPr>
        <w:rFonts w:ascii="Symbol" w:hAnsi="Symbol" w:hint="default"/>
      </w:rPr>
    </w:lvl>
    <w:lvl w:ilvl="4" w:tplc="08225844" w:tentative="1">
      <w:start w:val="1"/>
      <w:numFmt w:val="bullet"/>
      <w:lvlText w:val=""/>
      <w:lvlPicBulletId w:val="0"/>
      <w:lvlJc w:val="left"/>
      <w:pPr>
        <w:tabs>
          <w:tab w:val="num" w:pos="3600"/>
        </w:tabs>
        <w:ind w:left="3600" w:hanging="360"/>
      </w:pPr>
      <w:rPr>
        <w:rFonts w:ascii="Symbol" w:hAnsi="Symbol" w:hint="default"/>
      </w:rPr>
    </w:lvl>
    <w:lvl w:ilvl="5" w:tplc="97F03F84" w:tentative="1">
      <w:start w:val="1"/>
      <w:numFmt w:val="bullet"/>
      <w:lvlText w:val=""/>
      <w:lvlPicBulletId w:val="0"/>
      <w:lvlJc w:val="left"/>
      <w:pPr>
        <w:tabs>
          <w:tab w:val="num" w:pos="4320"/>
        </w:tabs>
        <w:ind w:left="4320" w:hanging="360"/>
      </w:pPr>
      <w:rPr>
        <w:rFonts w:ascii="Symbol" w:hAnsi="Symbol" w:hint="default"/>
      </w:rPr>
    </w:lvl>
    <w:lvl w:ilvl="6" w:tplc="F76ED0AE" w:tentative="1">
      <w:start w:val="1"/>
      <w:numFmt w:val="bullet"/>
      <w:lvlText w:val=""/>
      <w:lvlPicBulletId w:val="0"/>
      <w:lvlJc w:val="left"/>
      <w:pPr>
        <w:tabs>
          <w:tab w:val="num" w:pos="5040"/>
        </w:tabs>
        <w:ind w:left="5040" w:hanging="360"/>
      </w:pPr>
      <w:rPr>
        <w:rFonts w:ascii="Symbol" w:hAnsi="Symbol" w:hint="default"/>
      </w:rPr>
    </w:lvl>
    <w:lvl w:ilvl="7" w:tplc="25BE57F0" w:tentative="1">
      <w:start w:val="1"/>
      <w:numFmt w:val="bullet"/>
      <w:lvlText w:val=""/>
      <w:lvlPicBulletId w:val="0"/>
      <w:lvlJc w:val="left"/>
      <w:pPr>
        <w:tabs>
          <w:tab w:val="num" w:pos="5760"/>
        </w:tabs>
        <w:ind w:left="5760" w:hanging="360"/>
      </w:pPr>
      <w:rPr>
        <w:rFonts w:ascii="Symbol" w:hAnsi="Symbol" w:hint="default"/>
      </w:rPr>
    </w:lvl>
    <w:lvl w:ilvl="8" w:tplc="EA6E2402" w:tentative="1">
      <w:start w:val="1"/>
      <w:numFmt w:val="bullet"/>
      <w:lvlText w:val=""/>
      <w:lvlPicBulletId w:val="0"/>
      <w:lvlJc w:val="left"/>
      <w:pPr>
        <w:tabs>
          <w:tab w:val="num" w:pos="6480"/>
        </w:tabs>
        <w:ind w:left="6480" w:hanging="360"/>
      </w:pPr>
      <w:rPr>
        <w:rFonts w:ascii="Symbol" w:hAnsi="Symbol" w:hint="default"/>
      </w:rPr>
    </w:lvl>
  </w:abstractNum>
  <w:num w:numId="1" w16cid:durableId="1722485266">
    <w:abstractNumId w:val="1"/>
  </w:num>
  <w:num w:numId="2" w16cid:durableId="1974091438">
    <w:abstractNumId w:val="2"/>
  </w:num>
  <w:num w:numId="3" w16cid:durableId="1774474775">
    <w:abstractNumId w:val="3"/>
  </w:num>
  <w:num w:numId="4" w16cid:durableId="1990481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3"/>
  <w:hyphenationZone w:val="454"/>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9DC"/>
    <w:rsid w:val="00031FB0"/>
    <w:rsid w:val="000541E0"/>
    <w:rsid w:val="000C3872"/>
    <w:rsid w:val="00103CD5"/>
    <w:rsid w:val="001708DF"/>
    <w:rsid w:val="002A2A9E"/>
    <w:rsid w:val="002F20E1"/>
    <w:rsid w:val="00312659"/>
    <w:rsid w:val="003A6683"/>
    <w:rsid w:val="00483D40"/>
    <w:rsid w:val="004E08F3"/>
    <w:rsid w:val="005361C9"/>
    <w:rsid w:val="00543861"/>
    <w:rsid w:val="005A7E41"/>
    <w:rsid w:val="006B7F28"/>
    <w:rsid w:val="00745AC9"/>
    <w:rsid w:val="007C356A"/>
    <w:rsid w:val="007C5459"/>
    <w:rsid w:val="00801584"/>
    <w:rsid w:val="00825614"/>
    <w:rsid w:val="00847E32"/>
    <w:rsid w:val="00852BD5"/>
    <w:rsid w:val="00866D8D"/>
    <w:rsid w:val="00883653"/>
    <w:rsid w:val="008E74D6"/>
    <w:rsid w:val="008F082E"/>
    <w:rsid w:val="00992866"/>
    <w:rsid w:val="00A56D41"/>
    <w:rsid w:val="00B76382"/>
    <w:rsid w:val="00BA1D0C"/>
    <w:rsid w:val="00C04F74"/>
    <w:rsid w:val="00C412F1"/>
    <w:rsid w:val="00C66F9D"/>
    <w:rsid w:val="00CB06C4"/>
    <w:rsid w:val="00CD6918"/>
    <w:rsid w:val="00D5149F"/>
    <w:rsid w:val="00DB722E"/>
    <w:rsid w:val="00E873EA"/>
    <w:rsid w:val="00EC6B64"/>
    <w:rsid w:val="00F559DC"/>
    <w:rsid w:val="00F67DAD"/>
    <w:rsid w:val="00F72CB0"/>
    <w:rsid w:val="00FA77F0"/>
    <w:rsid w:val="00FD5E60"/>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99949"/>
  <w15:chartTrackingRefBased/>
  <w15:docId w15:val="{7066E704-C290-4F12-92E2-555D887B7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360" w:line="360" w:lineRule="auto"/>
    </w:pPr>
    <w:rPr>
      <w:rFonts w:ascii="Arial" w:hAnsi="Arial"/>
      <w:color w:val="000000"/>
      <w:sz w:val="24"/>
      <w:szCs w:val="24"/>
      <w:lang w:val="fr-FR" w:eastAsia="en-US"/>
    </w:rPr>
  </w:style>
  <w:style w:type="paragraph" w:styleId="berschrift1">
    <w:name w:val="heading 1"/>
    <w:basedOn w:val="Standard"/>
    <w:next w:val="Standard"/>
    <w:qFormat/>
    <w:pPr>
      <w:widowControl w:val="0"/>
      <w:spacing w:before="120" w:after="240" w:line="240" w:lineRule="auto"/>
      <w:outlineLvl w:val="0"/>
    </w:pPr>
    <w:rPr>
      <w:rFonts w:cs="Arial"/>
      <w:b/>
      <w:bCs/>
      <w:kern w:val="32"/>
      <w:sz w:val="36"/>
      <w:szCs w:val="32"/>
    </w:rPr>
  </w:style>
  <w:style w:type="paragraph" w:styleId="berschrift2">
    <w:name w:val="heading 2"/>
    <w:basedOn w:val="Standard"/>
    <w:next w:val="Standard"/>
    <w:qFormat/>
    <w:pPr>
      <w:keepNext/>
      <w:spacing w:before="240" w:line="240" w:lineRule="auto"/>
      <w:outlineLvl w:val="1"/>
    </w:pPr>
    <w:rPr>
      <w:rFonts w:cs="Arial"/>
      <w:b/>
      <w:bCs/>
      <w:i/>
      <w:iCs/>
    </w:rPr>
  </w:style>
  <w:style w:type="paragraph" w:styleId="berschrift3">
    <w:name w:val="heading 3"/>
    <w:basedOn w:val="Standard"/>
    <w:next w:val="Standard"/>
    <w:link w:val="berschrift3Zchn"/>
    <w:uiPriority w:val="9"/>
    <w:semiHidden/>
    <w:unhideWhenUsed/>
    <w:qFormat/>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essemitteilung">
    <w:name w:val="Pressemitteilung"/>
    <w:basedOn w:val="Standard"/>
    <w:next w:val="Standard"/>
    <w:rPr>
      <w:b/>
      <w:sz w:val="48"/>
    </w:rPr>
  </w:style>
  <w:style w:type="character" w:styleId="Hyperlink">
    <w:name w:val="Hyperlink"/>
    <w:rPr>
      <w:color w:val="0000FF"/>
      <w:u w:val="single"/>
    </w:rPr>
  </w:style>
  <w:style w:type="paragraph" w:customStyle="1" w:styleId="Bildunterschrift">
    <w:name w:val="Bildunterschrift"/>
    <w:basedOn w:val="Standard"/>
    <w:pPr>
      <w:spacing w:before="120" w:line="240" w:lineRule="auto"/>
    </w:pPr>
    <w:rPr>
      <w:i/>
    </w:rPr>
  </w:style>
  <w:style w:type="paragraph" w:styleId="Kopfzeile">
    <w:name w:val="header"/>
    <w:basedOn w:val="Standard"/>
    <w:link w:val="KopfzeileZchn"/>
    <w:pPr>
      <w:pBdr>
        <w:bottom w:val="single" w:sz="4" w:space="1" w:color="auto"/>
      </w:pBdr>
      <w:tabs>
        <w:tab w:val="center" w:pos="4536"/>
        <w:tab w:val="right" w:pos="9072"/>
      </w:tabs>
      <w:spacing w:before="0" w:line="240" w:lineRule="auto"/>
      <w:jc w:val="center"/>
    </w:pPr>
    <w:rPr>
      <w:sz w:val="18"/>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Default">
    <w:name w:val="Default"/>
    <w:pPr>
      <w:autoSpaceDE w:val="0"/>
      <w:autoSpaceDN w:val="0"/>
      <w:adjustRightInd w:val="0"/>
    </w:pPr>
    <w:rPr>
      <w:rFonts w:ascii="Arial" w:hAnsi="Arial" w:cs="Arial"/>
      <w:color w:val="000000"/>
      <w:sz w:val="24"/>
      <w:szCs w:val="24"/>
    </w:rPr>
  </w:style>
  <w:style w:type="table" w:customStyle="1" w:styleId="Tabellengitternetz">
    <w:name w:val="Tabellengitternetz"/>
    <w:basedOn w:val="NormaleTabelle"/>
    <w:pPr>
      <w:spacing w:before="36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uiPriority w:val="9"/>
    <w:semiHidden/>
    <w:rPr>
      <w:rFonts w:ascii="Calibri Light" w:eastAsia="Times New Roman" w:hAnsi="Calibri Light" w:cs="Times New Roman"/>
      <w:b/>
      <w:bCs/>
      <w:color w:val="000000"/>
      <w:sz w:val="26"/>
      <w:szCs w:val="26"/>
      <w:lang w:eastAsia="en-US"/>
    </w:rPr>
  </w:style>
  <w:style w:type="character" w:customStyle="1" w:styleId="KopfzeileZchn">
    <w:name w:val="Kopfzeile Zchn"/>
    <w:link w:val="Kopfzeile"/>
    <w:rPr>
      <w:rFonts w:ascii="Arial" w:hAnsi="Arial"/>
      <w:color w:val="000000"/>
      <w:sz w:val="18"/>
      <w:szCs w:val="24"/>
      <w:lang w:eastAsia="en-US"/>
    </w:rPr>
  </w:style>
  <w:style w:type="paragraph" w:styleId="Sprechblasentext">
    <w:name w:val="Balloon Text"/>
    <w:basedOn w:val="Standard"/>
    <w:link w:val="SprechblasentextZchn"/>
    <w:uiPriority w:val="99"/>
    <w:semiHidden/>
    <w:unhideWhenUsed/>
    <w:pPr>
      <w:spacing w:before="0" w:line="240" w:lineRule="auto"/>
    </w:pPr>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color w:val="000000"/>
      <w:sz w:val="18"/>
      <w:szCs w:val="18"/>
      <w:lang w:eastAsia="en-US"/>
    </w:rPr>
  </w:style>
  <w:style w:type="character" w:styleId="Hervorhebung">
    <w:name w:val="Emphasis"/>
    <w:uiPriority w:val="20"/>
    <w:qFormat/>
    <w:rPr>
      <w:i/>
      <w:iCs/>
    </w:rPr>
  </w:style>
  <w:style w:type="paragraph" w:styleId="StandardWeb">
    <w:name w:val="Normal (Web)"/>
    <w:basedOn w:val="Standard"/>
    <w:uiPriority w:val="99"/>
    <w:unhideWhenUsed/>
    <w:pPr>
      <w:spacing w:before="0" w:after="100" w:afterAutospacing="1" w:line="240" w:lineRule="auto"/>
    </w:pPr>
    <w:rPr>
      <w:rFonts w:ascii="Times New Roman" w:hAnsi="Times New Roman"/>
      <w:color w:val="auto"/>
      <w:lang w:eastAsia="de-DE"/>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link w:val="Kommentartext"/>
    <w:uiPriority w:val="99"/>
    <w:semiHidden/>
    <w:rPr>
      <w:rFonts w:ascii="Arial" w:hAnsi="Arial"/>
      <w:color w:val="000000"/>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Arial" w:hAnsi="Arial"/>
      <w:b/>
      <w:bCs/>
      <w:color w:val="000000"/>
      <w:lang w:eastAsia="en-US"/>
    </w:rPr>
  </w:style>
  <w:style w:type="paragraph" w:styleId="berarbeitung">
    <w:name w:val="Revision"/>
    <w:hidden/>
    <w:uiPriority w:val="99"/>
    <w:semiHidden/>
    <w:rPr>
      <w:rFonts w:ascii="Arial" w:hAnsi="Arial"/>
      <w:color w:val="000000"/>
      <w:sz w:val="24"/>
      <w:szCs w:val="24"/>
      <w:lang w:eastAsia="en-US"/>
    </w:rPr>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unhideWhenUsed/>
    <w:pPr>
      <w:numPr>
        <w:numId w:val="4"/>
      </w:numPr>
      <w:contextualSpacing/>
    </w:pPr>
  </w:style>
  <w:style w:type="character" w:styleId="NichtaufgelsteErwhnung">
    <w:name w:val="Unresolved Mention"/>
    <w:basedOn w:val="Absatz-Standardschriftart"/>
    <w:uiPriority w:val="99"/>
    <w:semiHidden/>
    <w:unhideWhenUsed/>
    <w:rsid w:val="00FA7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konsens.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D87F0-31AB-48D4-9F78-A4536351A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687</Words>
  <Characters>4329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Pressemitteilung</vt:lpstr>
    </vt:vector>
  </TitlesOfParts>
  <Company>KONSENS</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BW</dc:creator>
  <cp:lastModifiedBy>Sandra Amann</cp:lastModifiedBy>
  <cp:revision>3</cp:revision>
  <cp:lastPrinted>2009-03-23T15:46:00Z</cp:lastPrinted>
  <dcterms:created xsi:type="dcterms:W3CDTF">2026-09-21T13:21:00Z</dcterms:created>
  <dcterms:modified xsi:type="dcterms:W3CDTF">2026-09-22T13:09:00Z</dcterms:modified>
</cp:coreProperties>
</file>