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EA48" w14:textId="3EFCF0A2" w:rsidR="00E873EA" w:rsidRPr="00A30F0C" w:rsidRDefault="00A30F0C" w:rsidP="003C1BFF">
      <w:pPr>
        <w:spacing w:before="480" w:after="100" w:afterAutospacing="1" w:line="240" w:lineRule="auto"/>
        <w:rPr>
          <w:rFonts w:asciiTheme="minorBidi" w:hAnsiTheme="minorBidi" w:cstheme="minorBidi"/>
          <w:b/>
          <w:sz w:val="40"/>
          <w:szCs w:val="40"/>
        </w:rPr>
      </w:pPr>
      <w:r w:rsidRPr="00A30F0C">
        <w:rPr>
          <w:rFonts w:asciiTheme="minorBidi" w:hAnsiTheme="minorBidi" w:cstheme="minorBidi"/>
          <w:b/>
          <w:sz w:val="32"/>
          <w:szCs w:val="32"/>
        </w:rPr>
        <w:t>Investment in growth, efficiency and sustainability</w:t>
      </w:r>
      <w:r w:rsidR="00E873EA" w:rsidRPr="00A30F0C">
        <w:rPr>
          <w:rFonts w:asciiTheme="minorBidi" w:hAnsiTheme="minorBidi" w:cstheme="minorBidi"/>
          <w:b/>
          <w:sz w:val="32"/>
          <w:szCs w:val="32"/>
        </w:rPr>
        <w:t>:</w:t>
      </w:r>
      <w:r w:rsidR="00E873EA" w:rsidRPr="00A30F0C">
        <w:rPr>
          <w:rFonts w:ascii="Times New Roman" w:hAnsi="Times New Roman"/>
          <w:bCs/>
          <w:sz w:val="32"/>
          <w:szCs w:val="32"/>
        </w:rPr>
        <w:br/>
      </w:r>
      <w:r w:rsidRPr="00A30F0C">
        <w:rPr>
          <w:rFonts w:asciiTheme="minorBidi" w:hAnsiTheme="minorBidi" w:cstheme="minorBidi"/>
          <w:b/>
          <w:sz w:val="40"/>
          <w:szCs w:val="40"/>
        </w:rPr>
        <w:t>TechnoCompound to expand its LGF production capacity by 4,800 tonnes per year</w:t>
      </w:r>
    </w:p>
    <w:p w14:paraId="090245C0" w14:textId="2374D080" w:rsidR="00BA3A4A" w:rsidRDefault="00BA3A4A" w:rsidP="003C1BFF">
      <w:pPr>
        <w:spacing w:before="240" w:line="360" w:lineRule="exact"/>
        <w:rPr>
          <w:rFonts w:cs="Arial"/>
          <w:color w:val="auto"/>
          <w:lang w:eastAsia="de-DE"/>
        </w:rPr>
      </w:pPr>
      <w:r w:rsidRPr="00BA3A4A">
        <w:rPr>
          <w:rFonts w:cs="Arial"/>
          <w:color w:val="auto"/>
          <w:lang w:eastAsia="de-DE"/>
        </w:rPr>
        <w:t>Bad Sobernheim, Germany, September 2026</w:t>
      </w:r>
      <w:r w:rsidR="004E33C1">
        <w:rPr>
          <w:rFonts w:cs="Arial"/>
          <w:color w:val="auto"/>
          <w:lang w:eastAsia="de-DE"/>
        </w:rPr>
        <w:t>.</w:t>
      </w:r>
      <w:r w:rsidRPr="00BA3A4A">
        <w:rPr>
          <w:rFonts w:cs="Arial"/>
          <w:color w:val="auto"/>
          <w:lang w:eastAsia="de-DE"/>
        </w:rPr>
        <w:t xml:space="preserve"> In response to the growing demand for high-performance, long-glass-fibre-reinforced compounds, TechnoCompound is strengthening its sustainable product portfolio. The capacity expansion at the Bad Sobernheim site is being carried out without making significant changes to the processes or altering the technical concept of the existing production facilities. The new production line is scheduled to be operational by the second quarter of 2027.</w:t>
      </w:r>
    </w:p>
    <w:p w14:paraId="56D553E8" w14:textId="77777777" w:rsidR="00BA3A4A" w:rsidRPr="00BA3A4A" w:rsidRDefault="00BA3A4A" w:rsidP="003C1BFF">
      <w:pPr>
        <w:spacing w:before="240" w:line="360" w:lineRule="exact"/>
        <w:rPr>
          <w:rFonts w:cs="Arial"/>
          <w:color w:val="auto"/>
          <w:lang w:eastAsia="de-DE"/>
        </w:rPr>
      </w:pPr>
      <w:r w:rsidRPr="00BA3A4A">
        <w:rPr>
          <w:rFonts w:cs="Arial"/>
          <w:color w:val="auto"/>
          <w:lang w:eastAsia="de-DE"/>
        </w:rPr>
        <w:t>The company already offers sustainable LGF compounds containing between 25 and 60 per cent post-consumer recycled (PCR) material. These compounds meet or exceed the future requirements of the EU End-of-Life Vehicles Regulation (ELV-R), offering optimal solutions for structural components in vehicle interiors.</w:t>
      </w:r>
    </w:p>
    <w:p w14:paraId="49D41972" w14:textId="77777777" w:rsidR="00BA3A4A" w:rsidRDefault="00BA3A4A" w:rsidP="003C1BFF">
      <w:pPr>
        <w:spacing w:before="240" w:line="360" w:lineRule="exact"/>
        <w:rPr>
          <w:rFonts w:cs="Arial"/>
          <w:color w:val="auto"/>
          <w:lang w:eastAsia="de-DE"/>
        </w:rPr>
      </w:pPr>
      <w:r w:rsidRPr="00BA3A4A">
        <w:rPr>
          <w:rFonts w:cs="Arial"/>
          <w:color w:val="auto"/>
          <w:lang w:eastAsia="de-DE"/>
        </w:rPr>
        <w:t xml:space="preserve">Sales Manager Rifat Erden comments: 'By further expanding our production capacity in the LGF sector, we are making a targeted investment in TechnoCompound’s future. The expansion, which will add a further 4,800 tonnes per year, is our response to the steadily growing demand for high-performance, long-glass-fibre-reinforced compounds.” </w:t>
      </w:r>
    </w:p>
    <w:p w14:paraId="0DBA2610" w14:textId="04939C7D" w:rsidR="00BA3A4A" w:rsidRDefault="00BA3A4A" w:rsidP="003C1BFF">
      <w:pPr>
        <w:spacing w:before="240" w:line="360" w:lineRule="exact"/>
        <w:rPr>
          <w:rFonts w:cs="Arial"/>
          <w:color w:val="auto"/>
          <w:lang w:eastAsia="de-DE"/>
        </w:rPr>
      </w:pPr>
      <w:r w:rsidRPr="00BA3A4A">
        <w:rPr>
          <w:rFonts w:cs="Arial"/>
          <w:color w:val="auto"/>
          <w:lang w:eastAsia="de-DE"/>
        </w:rPr>
        <w:t>'With this increase in capacity, TechnoCompound is placing particular emphasis on efficiency and sustainability,' adds Managing Director Dirk Breitbach. ‘The new plant will be operated in an energy-</w:t>
      </w:r>
      <w:r>
        <w:rPr>
          <w:rFonts w:cs="Arial"/>
          <w:color w:val="auto"/>
          <w:lang w:eastAsia="de-DE"/>
        </w:rPr>
        <w:t>optimised</w:t>
      </w:r>
      <w:r w:rsidRPr="00BA3A4A">
        <w:rPr>
          <w:rFonts w:cs="Arial"/>
          <w:color w:val="auto"/>
          <w:lang w:eastAsia="de-DE"/>
        </w:rPr>
        <w:t xml:space="preserve"> manner and will meet the latest environmental and technological standards. This expansion underlines our commitment to providing innovative material solutions for demanding applications, and to growing as a reliable long-term partner for our customers.”</w:t>
      </w:r>
    </w:p>
    <w:p w14:paraId="5B0B64F3" w14:textId="3F3C7751" w:rsidR="00FA77F0" w:rsidRPr="00A30F0C" w:rsidRDefault="00FA77F0" w:rsidP="00FA77F0">
      <w:pPr>
        <w:spacing w:before="100" w:beforeAutospacing="1" w:after="100" w:afterAutospacing="1" w:line="240" w:lineRule="auto"/>
        <w:rPr>
          <w:rFonts w:cs="Arial"/>
          <w:color w:val="auto"/>
          <w:lang w:eastAsia="de-DE"/>
        </w:rPr>
      </w:pPr>
      <w:r w:rsidRPr="00A30F0C">
        <w:rPr>
          <w:rFonts w:eastAsiaTheme="minorHAnsi" w:cstheme="minorBidi"/>
          <w:noProof/>
          <w:color w:val="auto"/>
          <w:sz w:val="20"/>
          <w:szCs w:val="22"/>
        </w:rPr>
        <w:lastRenderedPageBreak/>
        <w:drawing>
          <wp:inline distT="0" distB="0" distL="0" distR="0" wp14:anchorId="75CF615F" wp14:editId="2E76AF98">
            <wp:extent cx="5400000" cy="254520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pic:cNvPicPr>
                  </pic:nvPicPr>
                  <pic:blipFill>
                    <a:blip r:embed="rId8"/>
                    <a:stretch>
                      <a:fillRect/>
                    </a:stretch>
                  </pic:blipFill>
                  <pic:spPr>
                    <a:xfrm>
                      <a:off x="0" y="0"/>
                      <a:ext cx="5400000" cy="2545200"/>
                    </a:xfrm>
                    <a:prstGeom prst="rect">
                      <a:avLst/>
                    </a:prstGeom>
                  </pic:spPr>
                </pic:pic>
              </a:graphicData>
            </a:graphic>
          </wp:inline>
        </w:drawing>
      </w:r>
    </w:p>
    <w:p w14:paraId="2DDD3F74" w14:textId="7BE87F37" w:rsidR="005361C9" w:rsidRPr="00A30F0C" w:rsidRDefault="005361C9" w:rsidP="005361C9">
      <w:pPr>
        <w:spacing w:before="0" w:after="160" w:line="259" w:lineRule="auto"/>
        <w:rPr>
          <w:rFonts w:eastAsiaTheme="minorHAnsi" w:cstheme="minorBidi"/>
          <w:i/>
          <w:color w:val="auto"/>
          <w:sz w:val="20"/>
          <w:szCs w:val="22"/>
        </w:rPr>
      </w:pPr>
      <w:r w:rsidRPr="00A30F0C">
        <w:rPr>
          <w:rFonts w:eastAsiaTheme="minorHAnsi" w:cstheme="minorBidi"/>
          <w:i/>
          <w:color w:val="auto"/>
          <w:sz w:val="20"/>
          <w:szCs w:val="22"/>
        </w:rPr>
        <w:t xml:space="preserve">TechnoCompound, </w:t>
      </w:r>
      <w:r w:rsidR="00D73EE4">
        <w:rPr>
          <w:rFonts w:eastAsiaTheme="minorHAnsi" w:cstheme="minorBidi"/>
          <w:i/>
          <w:color w:val="auto"/>
          <w:sz w:val="20"/>
          <w:szCs w:val="22"/>
        </w:rPr>
        <w:t>p</w:t>
      </w:r>
      <w:r w:rsidR="00D73EE4" w:rsidRPr="00A30F0C">
        <w:rPr>
          <w:rFonts w:eastAsiaTheme="minorHAnsi" w:cstheme="minorBidi"/>
          <w:i/>
          <w:color w:val="auto"/>
          <w:sz w:val="20"/>
          <w:szCs w:val="22"/>
        </w:rPr>
        <w:t>roduction</w:t>
      </w:r>
      <w:r w:rsidR="00A30F0C">
        <w:rPr>
          <w:rFonts w:eastAsiaTheme="minorHAnsi" w:cstheme="minorBidi"/>
          <w:i/>
          <w:color w:val="auto"/>
          <w:sz w:val="20"/>
          <w:szCs w:val="22"/>
        </w:rPr>
        <w:t xml:space="preserve"> site </w:t>
      </w:r>
      <w:r w:rsidRPr="00A30F0C">
        <w:rPr>
          <w:rFonts w:eastAsiaTheme="minorHAnsi" w:cstheme="minorBidi"/>
          <w:i/>
          <w:color w:val="auto"/>
          <w:sz w:val="20"/>
          <w:szCs w:val="22"/>
        </w:rPr>
        <w:t>in Bad Sobernheim</w:t>
      </w:r>
      <w:r w:rsidR="00A30F0C">
        <w:rPr>
          <w:rFonts w:eastAsiaTheme="minorHAnsi" w:cstheme="minorBidi"/>
          <w:i/>
          <w:color w:val="auto"/>
          <w:sz w:val="20"/>
          <w:szCs w:val="22"/>
        </w:rPr>
        <w:t>/Germany</w:t>
      </w:r>
      <w:r w:rsidRPr="00A30F0C">
        <w:rPr>
          <w:rFonts w:eastAsiaTheme="minorHAnsi" w:cstheme="minorBidi"/>
          <w:i/>
          <w:color w:val="auto"/>
          <w:sz w:val="20"/>
          <w:szCs w:val="22"/>
        </w:rPr>
        <w:t xml:space="preserve"> © TechnoCompound</w:t>
      </w:r>
    </w:p>
    <w:p w14:paraId="5F2C9F02" w14:textId="77777777" w:rsidR="00FA77F0" w:rsidRPr="00A30F0C" w:rsidRDefault="00FA77F0" w:rsidP="003C1BFF">
      <w:pPr>
        <w:spacing w:before="240" w:after="160" w:line="259" w:lineRule="auto"/>
        <w:rPr>
          <w:rFonts w:eastAsiaTheme="minorHAnsi" w:cstheme="minorBidi"/>
          <w:color w:val="auto"/>
          <w:sz w:val="20"/>
          <w:szCs w:val="22"/>
        </w:rPr>
      </w:pPr>
      <w:r w:rsidRPr="00A30F0C">
        <w:rPr>
          <w:rFonts w:eastAsiaTheme="minorHAnsi" w:cstheme="minorBidi"/>
          <w:noProof/>
          <w:color w:val="auto"/>
          <w:sz w:val="20"/>
          <w:szCs w:val="22"/>
        </w:rPr>
        <w:drawing>
          <wp:inline distT="0" distB="0" distL="0" distR="0" wp14:anchorId="763A6C42" wp14:editId="7B912802">
            <wp:extent cx="5400000" cy="4795200"/>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173" b="35749"/>
                    <a:stretch/>
                  </pic:blipFill>
                  <pic:spPr bwMode="auto">
                    <a:xfrm>
                      <a:off x="0" y="0"/>
                      <a:ext cx="5400000" cy="4795200"/>
                    </a:xfrm>
                    <a:prstGeom prst="rect">
                      <a:avLst/>
                    </a:prstGeom>
                    <a:noFill/>
                    <a:ln>
                      <a:noFill/>
                    </a:ln>
                    <a:extLst>
                      <a:ext uri="{53640926-AAD7-44D8-BBD7-CCE9431645EC}">
                        <a14:shadowObscured xmlns:a14="http://schemas.microsoft.com/office/drawing/2010/main"/>
                      </a:ext>
                    </a:extLst>
                  </pic:spPr>
                </pic:pic>
              </a:graphicData>
            </a:graphic>
          </wp:inline>
        </w:drawing>
      </w:r>
    </w:p>
    <w:p w14:paraId="0A37FD8E" w14:textId="752F3CA8" w:rsidR="005361C9" w:rsidRPr="00A30F0C" w:rsidRDefault="00BA3A4A" w:rsidP="00FA77F0">
      <w:pPr>
        <w:spacing w:before="0" w:after="160" w:line="259" w:lineRule="auto"/>
        <w:rPr>
          <w:rFonts w:eastAsiaTheme="minorHAnsi" w:cstheme="minorBidi"/>
          <w:i/>
          <w:color w:val="auto"/>
          <w:sz w:val="20"/>
          <w:szCs w:val="22"/>
        </w:rPr>
      </w:pPr>
      <w:r w:rsidRPr="00BA3A4A">
        <w:rPr>
          <w:rFonts w:eastAsiaTheme="minorHAnsi" w:cstheme="minorBidi"/>
          <w:i/>
          <w:color w:val="auto"/>
          <w:sz w:val="20"/>
          <w:szCs w:val="22"/>
        </w:rPr>
        <w:t xml:space="preserve">From left to right: Sales Manager Rifat Erden and TechnoCompound’s Managing Director Dirk Breitbach. </w:t>
      </w:r>
      <w:r w:rsidR="005361C9" w:rsidRPr="00A30F0C">
        <w:rPr>
          <w:rFonts w:eastAsiaTheme="minorHAnsi" w:cstheme="minorBidi"/>
          <w:i/>
          <w:color w:val="auto"/>
          <w:sz w:val="20"/>
          <w:szCs w:val="22"/>
        </w:rPr>
        <w:t>©</w:t>
      </w:r>
      <w:r w:rsidR="005361C9" w:rsidRPr="00A30F0C">
        <w:rPr>
          <w:rFonts w:eastAsiaTheme="minorHAnsi" w:cstheme="minorBidi"/>
          <w:color w:val="auto"/>
          <w:sz w:val="20"/>
          <w:szCs w:val="22"/>
        </w:rPr>
        <w:t xml:space="preserve"> </w:t>
      </w:r>
      <w:r w:rsidR="005361C9" w:rsidRPr="00A30F0C">
        <w:rPr>
          <w:rFonts w:eastAsiaTheme="minorHAnsi" w:cstheme="minorBidi"/>
          <w:i/>
          <w:color w:val="auto"/>
          <w:sz w:val="20"/>
          <w:szCs w:val="22"/>
        </w:rPr>
        <w:t>TechnoCompound</w:t>
      </w:r>
    </w:p>
    <w:p w14:paraId="31D6305F" w14:textId="77777777" w:rsidR="00FA77F0" w:rsidRPr="00A30F0C" w:rsidRDefault="00FA77F0" w:rsidP="00FA77F0">
      <w:pPr>
        <w:spacing w:before="0" w:after="160" w:line="259" w:lineRule="auto"/>
        <w:rPr>
          <w:rFonts w:eastAsiaTheme="minorHAnsi" w:cstheme="minorBidi"/>
          <w:color w:val="auto"/>
          <w:sz w:val="20"/>
          <w:szCs w:val="22"/>
        </w:rPr>
      </w:pPr>
      <w:r w:rsidRPr="00A30F0C">
        <w:rPr>
          <w:rFonts w:eastAsiaTheme="minorHAnsi" w:cstheme="minorBidi"/>
          <w:noProof/>
          <w:color w:val="auto"/>
          <w:sz w:val="20"/>
          <w:szCs w:val="22"/>
        </w:rPr>
        <w:lastRenderedPageBreak/>
        <w:drawing>
          <wp:inline distT="0" distB="0" distL="0" distR="0" wp14:anchorId="6252F0F8" wp14:editId="5BBA4EA7">
            <wp:extent cx="5400000" cy="3600000"/>
            <wp:effectExtent l="0" t="0" r="0" b="635"/>
            <wp:docPr id="18501924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92462" name="Grafik 18501924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0" cy="3600000"/>
                    </a:xfrm>
                    <a:prstGeom prst="rect">
                      <a:avLst/>
                    </a:prstGeom>
                  </pic:spPr>
                </pic:pic>
              </a:graphicData>
            </a:graphic>
          </wp:inline>
        </w:drawing>
      </w:r>
    </w:p>
    <w:p w14:paraId="66CAD115" w14:textId="75F2F706" w:rsidR="005361C9" w:rsidRDefault="00BA3A4A" w:rsidP="00FA77F0">
      <w:pPr>
        <w:spacing w:before="0" w:after="160" w:line="259" w:lineRule="auto"/>
        <w:rPr>
          <w:rFonts w:eastAsiaTheme="minorHAnsi" w:cstheme="minorBidi"/>
          <w:i/>
          <w:color w:val="auto"/>
          <w:sz w:val="20"/>
          <w:szCs w:val="22"/>
        </w:rPr>
      </w:pPr>
      <w:r w:rsidRPr="00BA3A4A">
        <w:rPr>
          <w:rFonts w:eastAsiaTheme="minorHAnsi" w:cstheme="minorBidi"/>
          <w:i/>
          <w:color w:val="auto"/>
          <w:sz w:val="20"/>
          <w:szCs w:val="22"/>
        </w:rPr>
        <w:t xml:space="preserve">Continuous glass fibre strands are used as a precursor in the production of long-fibre-reinforced thermoplastics. </w:t>
      </w:r>
      <w:r w:rsidR="005361C9" w:rsidRPr="00A30F0C">
        <w:rPr>
          <w:rFonts w:eastAsiaTheme="minorHAnsi" w:cstheme="minorBidi"/>
          <w:i/>
          <w:color w:val="auto"/>
          <w:sz w:val="20"/>
          <w:szCs w:val="22"/>
        </w:rPr>
        <w:t>© TechnoCompound</w:t>
      </w:r>
    </w:p>
    <w:p w14:paraId="7B79BD21" w14:textId="77777777" w:rsidR="00BA3A4A" w:rsidRPr="00A46E12" w:rsidRDefault="00BA3A4A" w:rsidP="00BA3A4A">
      <w:pPr>
        <w:spacing w:before="120" w:beforeAutospacing="1" w:line="240" w:lineRule="auto"/>
        <w:jc w:val="both"/>
        <w:rPr>
          <w:rFonts w:eastAsiaTheme="majorEastAsia" w:cs="Arial"/>
          <w:i/>
          <w:iCs/>
          <w:color w:val="auto"/>
          <w:sz w:val="18"/>
          <w:szCs w:val="18"/>
          <w:lang w:eastAsia="de-DE"/>
        </w:rPr>
      </w:pPr>
      <w:r w:rsidRPr="00A46E12">
        <w:rPr>
          <w:rFonts w:eastAsiaTheme="majorEastAsia" w:cs="Arial"/>
          <w:i/>
          <w:iCs/>
          <w:color w:val="auto"/>
          <w:sz w:val="18"/>
          <w:szCs w:val="18"/>
          <w:lang w:eastAsia="de-DE"/>
        </w:rPr>
        <w:t>TechnoCompound GmbH (www.technocompound.com) in Bad Sobernheim, Germany, which is part of the Polymer-Group (www.polymer-gruppe.de) is a leading supplier of tailored polymer compounds in Europe and has a staff 90. It has state-of-the-art production facilities, and compounds, finishes and modifies polymers with a production capacity of 60,000 metric tons per year for customer-specific applications. The functionally modified polymer range extends from commodities via technical compounds to thermoplastic elastomers.</w:t>
      </w:r>
    </w:p>
    <w:p w14:paraId="0859853E" w14:textId="77777777" w:rsidR="00BA3A4A" w:rsidRPr="00A46E12" w:rsidRDefault="00BA3A4A" w:rsidP="00BA3A4A">
      <w:pPr>
        <w:spacing w:before="120" w:beforeAutospacing="1" w:line="240" w:lineRule="auto"/>
        <w:jc w:val="both"/>
        <w:rPr>
          <w:rFonts w:eastAsiaTheme="majorEastAsia" w:cs="Arial"/>
          <w:i/>
          <w:iCs/>
          <w:color w:val="auto"/>
          <w:sz w:val="18"/>
          <w:szCs w:val="18"/>
          <w:lang w:eastAsia="de-DE"/>
        </w:rPr>
      </w:pPr>
      <w:r w:rsidRPr="00A46E12">
        <w:rPr>
          <w:rFonts w:eastAsiaTheme="majorEastAsia" w:cs="Arial"/>
          <w:i/>
          <w:iCs/>
          <w:color w:val="auto"/>
          <w:sz w:val="18"/>
          <w:szCs w:val="18"/>
          <w:lang w:eastAsia="de-DE"/>
        </w:rPr>
        <w:t>These polymers are primarily used by the automotive industry and its suppliers. However, applications in logistics, packaging and construction are also served. Its lean organization and modern facilities optimized for efficiency mean TechnoCompound GmbH is able to offer its products at competitive prices. Its full-service offering includes on-site technical application support and the development of compounds individually tailored to a specific application.</w:t>
      </w:r>
    </w:p>
    <w:p w14:paraId="6D593E83" w14:textId="77777777" w:rsidR="00BA3A4A" w:rsidRPr="00A46E12" w:rsidRDefault="00BA3A4A" w:rsidP="00BA3A4A">
      <w:pPr>
        <w:spacing w:before="120" w:beforeAutospacing="1" w:line="240" w:lineRule="auto"/>
        <w:jc w:val="both"/>
        <w:rPr>
          <w:rFonts w:eastAsiaTheme="majorEastAsia" w:cs="Arial"/>
          <w:iCs/>
          <w:color w:val="auto"/>
          <w:sz w:val="18"/>
          <w:szCs w:val="18"/>
          <w:lang w:eastAsia="de-DE"/>
        </w:rPr>
      </w:pPr>
      <w:r w:rsidRPr="00A46E12">
        <w:rPr>
          <w:rFonts w:eastAsiaTheme="majorEastAsia" w:cs="Arial"/>
          <w:i/>
          <w:iCs/>
          <w:color w:val="auto"/>
          <w:sz w:val="18"/>
          <w:szCs w:val="18"/>
          <w:lang w:eastAsia="de-DE"/>
        </w:rPr>
        <w:t>The Polymer-Group, with its registered office in Bad Sobernheim, emerged from Polymer-Chemie GmbH, an independent family business founded in 1973 to compound, finish and modify plastics. Combining flexibility and performance, it is increasingly supporting its global customers with innovative and customized products of the highest quality. Today, the Polymer-Group comprises the compounders Polymer-Chemie, Polymer-Chemie Rus, Sun Alloys Europe, TechnoCompound, PolyMIM and SoBiCo and has over 500 staff.</w:t>
      </w:r>
    </w:p>
    <w:p w14:paraId="13C02120" w14:textId="77777777" w:rsidR="00BA3A4A" w:rsidRPr="0022760F" w:rsidRDefault="00BA3A4A" w:rsidP="00BA3A4A">
      <w:pPr>
        <w:spacing w:before="240" w:after="160" w:line="240" w:lineRule="auto"/>
        <w:rPr>
          <w:rFonts w:eastAsiaTheme="minorHAnsi" w:cstheme="minorBidi"/>
          <w:color w:val="auto"/>
          <w:sz w:val="22"/>
          <w:szCs w:val="22"/>
          <w:u w:val="single"/>
          <w:lang w:val="de-DE"/>
        </w:rPr>
      </w:pPr>
      <w:r w:rsidRPr="0022760F">
        <w:rPr>
          <w:rFonts w:eastAsiaTheme="minorHAnsi" w:cstheme="minorBidi"/>
          <w:color w:val="auto"/>
          <w:sz w:val="22"/>
          <w:szCs w:val="22"/>
          <w:u w:val="single"/>
          <w:lang w:val="de-DE"/>
        </w:rPr>
        <w:t>Further information:</w:t>
      </w:r>
    </w:p>
    <w:p w14:paraId="4CC39414" w14:textId="77777777" w:rsidR="00BA3A4A" w:rsidRPr="0022760F" w:rsidRDefault="00BA3A4A" w:rsidP="00BA3A4A">
      <w:pPr>
        <w:spacing w:before="0" w:after="120" w:line="240" w:lineRule="auto"/>
        <w:ind w:left="567"/>
        <w:rPr>
          <w:rFonts w:eastAsiaTheme="minorHAnsi" w:cstheme="minorBidi"/>
          <w:color w:val="auto"/>
          <w:sz w:val="22"/>
          <w:szCs w:val="22"/>
          <w:lang w:val="de-DE"/>
        </w:rPr>
      </w:pPr>
      <w:r w:rsidRPr="0022760F">
        <w:rPr>
          <w:rFonts w:eastAsiaTheme="minorHAnsi" w:cstheme="minorBidi"/>
          <w:color w:val="auto"/>
          <w:sz w:val="22"/>
          <w:szCs w:val="22"/>
          <w:lang w:val="de-DE"/>
        </w:rPr>
        <w:t>Rifat Erden, Leiter Vertrieb und Marketing, TechnoCompound GmbH,</w:t>
      </w:r>
      <w:r w:rsidRPr="0022760F">
        <w:rPr>
          <w:rFonts w:eastAsiaTheme="minorHAnsi" w:cstheme="minorBidi"/>
          <w:color w:val="auto"/>
          <w:sz w:val="22"/>
          <w:szCs w:val="22"/>
          <w:lang w:val="de-DE"/>
        </w:rPr>
        <w:br/>
        <w:t>Am Gefach, D-55566 Bad Sobernheim</w:t>
      </w:r>
      <w:r w:rsidRPr="0022760F">
        <w:rPr>
          <w:rFonts w:eastAsiaTheme="minorHAnsi" w:cstheme="minorBidi"/>
          <w:color w:val="auto"/>
          <w:sz w:val="22"/>
          <w:szCs w:val="22"/>
          <w:lang w:val="de-DE"/>
        </w:rPr>
        <w:br/>
        <w:t>Tel.:  +49 (0) 67 51/8 56 05-472, rifat.erden@technocompound.com</w:t>
      </w:r>
    </w:p>
    <w:p w14:paraId="061499BD" w14:textId="77777777" w:rsidR="00BA3A4A" w:rsidRPr="00A46E12" w:rsidRDefault="00BA3A4A" w:rsidP="00BA3A4A">
      <w:pPr>
        <w:spacing w:before="0" w:after="160" w:line="240" w:lineRule="auto"/>
        <w:rPr>
          <w:rFonts w:eastAsiaTheme="minorHAnsi" w:cstheme="minorBidi"/>
          <w:color w:val="auto"/>
          <w:sz w:val="22"/>
          <w:szCs w:val="22"/>
          <w:u w:val="single"/>
        </w:rPr>
      </w:pPr>
      <w:r w:rsidRPr="00A46E12">
        <w:rPr>
          <w:rFonts w:eastAsiaTheme="minorHAnsi" w:cstheme="minorBidi"/>
          <w:color w:val="auto"/>
          <w:sz w:val="22"/>
          <w:szCs w:val="22"/>
          <w:u w:val="single"/>
        </w:rPr>
        <w:t>Editorial contact and voucher copies:</w:t>
      </w:r>
    </w:p>
    <w:p w14:paraId="5F5A8C4C" w14:textId="77777777" w:rsidR="00BA3A4A" w:rsidRPr="00A46E12" w:rsidRDefault="00BA3A4A" w:rsidP="00BA3A4A">
      <w:pPr>
        <w:spacing w:before="0" w:after="120" w:line="240" w:lineRule="auto"/>
        <w:ind w:left="567"/>
        <w:rPr>
          <w:rFonts w:eastAsiaTheme="minorHAnsi" w:cstheme="minorBidi"/>
          <w:color w:val="auto"/>
          <w:sz w:val="22"/>
          <w:szCs w:val="22"/>
        </w:rPr>
      </w:pPr>
      <w:r w:rsidRPr="00A46E12">
        <w:rPr>
          <w:rFonts w:eastAsiaTheme="minorHAnsi" w:cstheme="minorBidi"/>
          <w:color w:val="auto"/>
          <w:sz w:val="22"/>
          <w:szCs w:val="22"/>
        </w:rPr>
        <w:t>Dr.-Ing. Jörg Wolters, KONSENS Public Relations GmbH &amp; Co. KG,</w:t>
      </w:r>
      <w:r w:rsidRPr="00A46E12">
        <w:rPr>
          <w:rFonts w:eastAsiaTheme="minorHAnsi" w:cstheme="minorBidi"/>
          <w:color w:val="auto"/>
          <w:sz w:val="22"/>
          <w:szCs w:val="22"/>
        </w:rPr>
        <w:br/>
        <w:t>Hans-Böckler-Straße 20, D-63811 Stockstadt am Main</w:t>
      </w:r>
      <w:r w:rsidRPr="00A46E12">
        <w:rPr>
          <w:rFonts w:eastAsiaTheme="minorHAnsi" w:cstheme="minorBidi"/>
          <w:color w:val="auto"/>
          <w:sz w:val="22"/>
          <w:szCs w:val="22"/>
        </w:rPr>
        <w:br/>
        <w:t xml:space="preserve">Tel.:  +49 (0) 60 27/99 00 5-13, </w:t>
      </w:r>
      <w:hyperlink r:id="rId11" w:history="1">
        <w:r w:rsidRPr="00A46E12">
          <w:rPr>
            <w:rFonts w:eastAsiaTheme="minorHAnsi" w:cstheme="minorBidi"/>
            <w:color w:val="auto"/>
            <w:sz w:val="22"/>
            <w:szCs w:val="22"/>
          </w:rPr>
          <w:t>mail@konsens.de</w:t>
        </w:r>
      </w:hyperlink>
    </w:p>
    <w:p w14:paraId="033EC6E7" w14:textId="29B7F4A5" w:rsidR="00BA3A4A" w:rsidRPr="00BA3A4A" w:rsidRDefault="00BA3A4A" w:rsidP="003C1BFF">
      <w:pPr>
        <w:shd w:val="clear" w:color="auto" w:fill="D0CECE" w:themeFill="background2" w:themeFillShade="E6"/>
        <w:spacing w:before="240" w:after="160" w:line="240" w:lineRule="auto"/>
        <w:jc w:val="center"/>
        <w:rPr>
          <w:rFonts w:eastAsiaTheme="minorHAnsi" w:cstheme="minorBidi"/>
          <w:color w:val="auto"/>
          <w:sz w:val="20"/>
          <w:szCs w:val="22"/>
        </w:rPr>
      </w:pPr>
      <w:r w:rsidRPr="00A46E12">
        <w:rPr>
          <w:rFonts w:eastAsiaTheme="minorHAnsi" w:cstheme="minorBidi"/>
          <w:color w:val="auto"/>
          <w:sz w:val="22"/>
          <w:szCs w:val="22"/>
        </w:rPr>
        <w:t>The text and image of this press release can be downloaded from: https://www.konsens.de/pressemitteilungen/technocompound-gmbh</w:t>
      </w:r>
    </w:p>
    <w:sectPr w:rsidR="00BA3A4A" w:rsidRPr="00BA3A4A">
      <w:headerReference w:type="even" r:id="rId12"/>
      <w:headerReference w:type="default" r:id="rId13"/>
      <w:footerReference w:type="even" r:id="rId14"/>
      <w:footerReference w:type="default" r:id="rId15"/>
      <w:headerReference w:type="first" r:id="rId16"/>
      <w:footerReference w:type="first" r:id="rId17"/>
      <w:pgSz w:w="11907" w:h="16840" w:code="9"/>
      <w:pgMar w:top="1276" w:right="1701" w:bottom="709" w:left="1701" w:header="62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AAC18" w14:textId="77777777" w:rsidR="00E36007" w:rsidRPr="00A30F0C" w:rsidRDefault="00E36007">
      <w:pPr>
        <w:spacing w:before="0" w:line="240" w:lineRule="auto"/>
      </w:pPr>
      <w:r w:rsidRPr="00A30F0C">
        <w:separator/>
      </w:r>
    </w:p>
  </w:endnote>
  <w:endnote w:type="continuationSeparator" w:id="0">
    <w:p w14:paraId="5EF27963" w14:textId="77777777" w:rsidR="00E36007" w:rsidRPr="00A30F0C" w:rsidRDefault="00E36007">
      <w:pPr>
        <w:spacing w:before="0" w:line="240" w:lineRule="auto"/>
      </w:pPr>
      <w:r w:rsidRPr="00A30F0C">
        <w:continuationSeparator/>
      </w:r>
    </w:p>
  </w:endnote>
  <w:endnote w:type="continuationNotice" w:id="1">
    <w:p w14:paraId="68827224" w14:textId="77777777" w:rsidR="00E36007" w:rsidRPr="00A30F0C" w:rsidRDefault="00E3600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00CAC" w14:textId="77777777" w:rsidR="00D70CE8" w:rsidRDefault="00D70CE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3EC4" w14:textId="77777777" w:rsidR="00D70CE8" w:rsidRDefault="00D70CE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F6A8" w14:textId="77777777" w:rsidR="00D70CE8" w:rsidRDefault="00D70C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F216" w14:textId="77777777" w:rsidR="00E36007" w:rsidRPr="00A30F0C" w:rsidRDefault="00E36007">
      <w:pPr>
        <w:spacing w:before="0" w:line="240" w:lineRule="auto"/>
      </w:pPr>
      <w:r w:rsidRPr="00A30F0C">
        <w:separator/>
      </w:r>
    </w:p>
  </w:footnote>
  <w:footnote w:type="continuationSeparator" w:id="0">
    <w:p w14:paraId="4404959D" w14:textId="77777777" w:rsidR="00E36007" w:rsidRPr="00A30F0C" w:rsidRDefault="00E36007">
      <w:pPr>
        <w:spacing w:before="0" w:line="240" w:lineRule="auto"/>
      </w:pPr>
      <w:r w:rsidRPr="00A30F0C">
        <w:continuationSeparator/>
      </w:r>
    </w:p>
  </w:footnote>
  <w:footnote w:type="continuationNotice" w:id="1">
    <w:p w14:paraId="4FFD7A0A" w14:textId="77777777" w:rsidR="00E36007" w:rsidRPr="00A30F0C" w:rsidRDefault="00E36007">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BA81" w14:textId="77777777" w:rsidR="00D70CE8" w:rsidRDefault="00D70CE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71AD" w14:textId="27B7114E" w:rsidR="00F559DC" w:rsidRPr="00A30F0C" w:rsidRDefault="00A30F0C">
    <w:pPr>
      <w:pStyle w:val="Kopfzeile"/>
      <w:pBdr>
        <w:bottom w:val="single" w:sz="4" w:space="0" w:color="auto"/>
      </w:pBdr>
      <w:jc w:val="left"/>
    </w:pPr>
    <w:r>
      <w:t>page</w:t>
    </w:r>
    <w:r w:rsidR="00F72CB0" w:rsidRPr="00A30F0C">
      <w:t xml:space="preserve"> </w:t>
    </w:r>
    <w:r w:rsidR="00F72CB0" w:rsidRPr="00A30F0C">
      <w:fldChar w:fldCharType="begin"/>
    </w:r>
    <w:r w:rsidR="00F72CB0" w:rsidRPr="00A30F0C">
      <w:instrText xml:space="preserve"> PAGE </w:instrText>
    </w:r>
    <w:r w:rsidR="00F72CB0" w:rsidRPr="00A30F0C">
      <w:fldChar w:fldCharType="separate"/>
    </w:r>
    <w:r w:rsidR="00F72CB0" w:rsidRPr="00A30F0C">
      <w:t>4</w:t>
    </w:r>
    <w:r w:rsidR="00F72CB0" w:rsidRPr="00A30F0C">
      <w:fldChar w:fldCharType="end"/>
    </w:r>
    <w:r w:rsidR="00F72CB0" w:rsidRPr="00A30F0C">
      <w:t xml:space="preserve"> </w:t>
    </w:r>
    <w:r>
      <w:t>of the press release</w:t>
    </w:r>
    <w:r w:rsidR="00F72CB0" w:rsidRPr="00A30F0C">
      <w:br/>
    </w:r>
    <w:r w:rsidR="005361C9" w:rsidRPr="00A30F0C">
      <w:t xml:space="preserve">TechnoCompound </w:t>
    </w:r>
    <w:r>
      <w:t>to expand</w:t>
    </w:r>
    <w:r w:rsidR="005361C9" w:rsidRPr="00A30F0C">
      <w:t xml:space="preserve"> </w:t>
    </w:r>
    <w:r>
      <w:t xml:space="preserve">its </w:t>
    </w:r>
    <w:r w:rsidR="005361C9" w:rsidRPr="00A30F0C">
      <w:t>LGF</w:t>
    </w:r>
    <w:r>
      <w:t xml:space="preserve"> </w:t>
    </w:r>
    <w:r w:rsidRPr="00A30F0C">
      <w:t>produ</w:t>
    </w:r>
    <w:r>
      <w:t>c</w:t>
    </w:r>
    <w:r w:rsidRPr="00A30F0C">
      <w:t>tion</w:t>
    </w:r>
    <w:r>
      <w:t xml:space="preserve"> c</w:t>
    </w:r>
    <w:r w:rsidR="005361C9" w:rsidRPr="00A30F0C">
      <w:t>apa</w:t>
    </w:r>
    <w:r>
      <w:t xml:space="preserve">city by </w:t>
    </w:r>
    <w:r w:rsidR="005361C9" w:rsidRPr="00A30F0C">
      <w:t xml:space="preserve">4.800 </w:t>
    </w:r>
    <w:r>
      <w:t>tonnes per year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8"/>
    </w:tblGrid>
    <w:tr w:rsidR="00F559DC" w:rsidRPr="00A30F0C" w14:paraId="3F868BCB" w14:textId="77777777">
      <w:tc>
        <w:tcPr>
          <w:tcW w:w="4247" w:type="dxa"/>
        </w:tcPr>
        <w:p w14:paraId="53AADDFD" w14:textId="3AD1B6D8" w:rsidR="00F559DC" w:rsidRPr="00A30F0C" w:rsidRDefault="00F559DC">
          <w:pPr>
            <w:pStyle w:val="Kopfzeile"/>
            <w:pBdr>
              <w:bottom w:val="none" w:sz="0" w:space="0" w:color="auto"/>
            </w:pBdr>
            <w:jc w:val="left"/>
            <w:rPr>
              <w:sz w:val="44"/>
              <w:szCs w:val="44"/>
            </w:rPr>
          </w:pPr>
        </w:p>
      </w:tc>
      <w:tc>
        <w:tcPr>
          <w:tcW w:w="4248" w:type="dxa"/>
        </w:tcPr>
        <w:p w14:paraId="5D13112B" w14:textId="77777777" w:rsidR="00F559DC" w:rsidRPr="00A30F0C" w:rsidRDefault="00F72CB0">
          <w:pPr>
            <w:pStyle w:val="Kopfzeile"/>
            <w:pBdr>
              <w:bottom w:val="none" w:sz="0" w:space="0" w:color="auto"/>
            </w:pBdr>
            <w:tabs>
              <w:tab w:val="clear" w:pos="4536"/>
              <w:tab w:val="center" w:pos="4006"/>
            </w:tabs>
            <w:jc w:val="right"/>
            <w:rPr>
              <w:sz w:val="16"/>
              <w:szCs w:val="16"/>
            </w:rPr>
          </w:pPr>
          <w:r w:rsidRPr="00A30F0C">
            <w:rPr>
              <w:noProof/>
              <w:sz w:val="16"/>
              <w:szCs w:val="16"/>
              <w:lang w:eastAsia="de-DE"/>
            </w:rPr>
            <w:drawing>
              <wp:inline distT="0" distB="0" distL="0" distR="0" wp14:anchorId="796348F2" wp14:editId="1FB5A996">
                <wp:extent cx="2200313" cy="429031"/>
                <wp:effectExtent l="0" t="0" r="0" b="9525"/>
                <wp:docPr id="16885593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59360"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22628" cy="433382"/>
                        </a:xfrm>
                        <a:prstGeom prst="rect">
                          <a:avLst/>
                        </a:prstGeom>
                        <a:noFill/>
                      </pic:spPr>
                    </pic:pic>
                  </a:graphicData>
                </a:graphic>
              </wp:inline>
            </w:drawing>
          </w:r>
        </w:p>
      </w:tc>
    </w:tr>
    <w:tr w:rsidR="00F559DC" w:rsidRPr="00A30F0C" w14:paraId="46149A38" w14:textId="77777777">
      <w:tc>
        <w:tcPr>
          <w:tcW w:w="4247" w:type="dxa"/>
          <w:vAlign w:val="bottom"/>
        </w:tcPr>
        <w:p w14:paraId="27ADB72D" w14:textId="1A604201" w:rsidR="00F559DC" w:rsidRPr="00A30F0C" w:rsidRDefault="00F559DC">
          <w:pPr>
            <w:pStyle w:val="Kopfzeile"/>
            <w:pBdr>
              <w:bottom w:val="none" w:sz="0" w:space="0" w:color="auto"/>
            </w:pBdr>
            <w:jc w:val="left"/>
            <w:rPr>
              <w:sz w:val="44"/>
              <w:szCs w:val="44"/>
            </w:rPr>
          </w:pPr>
        </w:p>
      </w:tc>
      <w:tc>
        <w:tcPr>
          <w:tcW w:w="4248" w:type="dxa"/>
          <w:vAlign w:val="bottom"/>
        </w:tcPr>
        <w:p w14:paraId="4E58F750" w14:textId="1B65CE3F" w:rsidR="00F559DC" w:rsidRPr="00A30F0C" w:rsidRDefault="00F72CB0">
          <w:pPr>
            <w:pStyle w:val="Kopfzeile"/>
            <w:pBdr>
              <w:bottom w:val="none" w:sz="0" w:space="0" w:color="auto"/>
            </w:pBdr>
            <w:jc w:val="right"/>
            <w:rPr>
              <w:sz w:val="44"/>
              <w:szCs w:val="44"/>
            </w:rPr>
          </w:pPr>
          <w:r w:rsidRPr="00A30F0C">
            <w:rPr>
              <w:sz w:val="44"/>
              <w:szCs w:val="44"/>
            </w:rPr>
            <w:t>Press</w:t>
          </w:r>
          <w:r w:rsidR="00D70CE8">
            <w:rPr>
              <w:sz w:val="44"/>
              <w:szCs w:val="44"/>
            </w:rPr>
            <w:t xml:space="preserve"> release</w:t>
          </w:r>
        </w:p>
      </w:tc>
    </w:tr>
  </w:tbl>
  <w:p w14:paraId="1F6D2E3D" w14:textId="77777777" w:rsidR="00F559DC" w:rsidRPr="00A30F0C" w:rsidRDefault="00F559DC">
    <w:pPr>
      <w:pStyle w:val="Kopfzeile"/>
      <w:pBdr>
        <w:bottom w:val="none" w:sz="0" w:space="0" w:color="auto"/>
      </w:pBdr>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pt;height:44.35pt" o:bullet="t">
        <v:imagedata r:id="rId1" o:title="art8998"/>
      </v:shape>
    </w:pict>
  </w:numPicBullet>
  <w:abstractNum w:abstractNumId="0" w15:restartNumberingAfterBreak="0">
    <w:nsid w:val="FFFFFF89"/>
    <w:multiLevelType w:val="singleLevel"/>
    <w:tmpl w:val="0E24D5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969EC"/>
    <w:multiLevelType w:val="hybridMultilevel"/>
    <w:tmpl w:val="7F08C9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004230B"/>
    <w:multiLevelType w:val="hybridMultilevel"/>
    <w:tmpl w:val="25F8E9B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B12ADC"/>
    <w:multiLevelType w:val="hybridMultilevel"/>
    <w:tmpl w:val="CEFE9368"/>
    <w:lvl w:ilvl="0" w:tplc="8A5C8B6A">
      <w:start w:val="1"/>
      <w:numFmt w:val="bullet"/>
      <w:lvlText w:val=""/>
      <w:lvlPicBulletId w:val="0"/>
      <w:lvlJc w:val="left"/>
      <w:pPr>
        <w:tabs>
          <w:tab w:val="num" w:pos="720"/>
        </w:tabs>
        <w:ind w:left="720" w:hanging="360"/>
      </w:pPr>
      <w:rPr>
        <w:rFonts w:ascii="Symbol" w:hAnsi="Symbol" w:hint="default"/>
      </w:rPr>
    </w:lvl>
    <w:lvl w:ilvl="1" w:tplc="DB96C17A">
      <w:start w:val="1"/>
      <w:numFmt w:val="bullet"/>
      <w:lvlText w:val=""/>
      <w:lvlPicBulletId w:val="0"/>
      <w:lvlJc w:val="left"/>
      <w:pPr>
        <w:tabs>
          <w:tab w:val="num" w:pos="1440"/>
        </w:tabs>
        <w:ind w:left="1440" w:hanging="360"/>
      </w:pPr>
      <w:rPr>
        <w:rFonts w:ascii="Symbol" w:hAnsi="Symbol" w:hint="default"/>
      </w:rPr>
    </w:lvl>
    <w:lvl w:ilvl="2" w:tplc="F600FFC2" w:tentative="1">
      <w:start w:val="1"/>
      <w:numFmt w:val="bullet"/>
      <w:lvlText w:val=""/>
      <w:lvlPicBulletId w:val="0"/>
      <w:lvlJc w:val="left"/>
      <w:pPr>
        <w:tabs>
          <w:tab w:val="num" w:pos="2160"/>
        </w:tabs>
        <w:ind w:left="2160" w:hanging="360"/>
      </w:pPr>
      <w:rPr>
        <w:rFonts w:ascii="Symbol" w:hAnsi="Symbol" w:hint="default"/>
      </w:rPr>
    </w:lvl>
    <w:lvl w:ilvl="3" w:tplc="3866EDC4" w:tentative="1">
      <w:start w:val="1"/>
      <w:numFmt w:val="bullet"/>
      <w:lvlText w:val=""/>
      <w:lvlPicBulletId w:val="0"/>
      <w:lvlJc w:val="left"/>
      <w:pPr>
        <w:tabs>
          <w:tab w:val="num" w:pos="2880"/>
        </w:tabs>
        <w:ind w:left="2880" w:hanging="360"/>
      </w:pPr>
      <w:rPr>
        <w:rFonts w:ascii="Symbol" w:hAnsi="Symbol" w:hint="default"/>
      </w:rPr>
    </w:lvl>
    <w:lvl w:ilvl="4" w:tplc="3F7E1324" w:tentative="1">
      <w:start w:val="1"/>
      <w:numFmt w:val="bullet"/>
      <w:lvlText w:val=""/>
      <w:lvlPicBulletId w:val="0"/>
      <w:lvlJc w:val="left"/>
      <w:pPr>
        <w:tabs>
          <w:tab w:val="num" w:pos="3600"/>
        </w:tabs>
        <w:ind w:left="3600" w:hanging="360"/>
      </w:pPr>
      <w:rPr>
        <w:rFonts w:ascii="Symbol" w:hAnsi="Symbol" w:hint="default"/>
      </w:rPr>
    </w:lvl>
    <w:lvl w:ilvl="5" w:tplc="BF36EDF6" w:tentative="1">
      <w:start w:val="1"/>
      <w:numFmt w:val="bullet"/>
      <w:lvlText w:val=""/>
      <w:lvlPicBulletId w:val="0"/>
      <w:lvlJc w:val="left"/>
      <w:pPr>
        <w:tabs>
          <w:tab w:val="num" w:pos="4320"/>
        </w:tabs>
        <w:ind w:left="4320" w:hanging="360"/>
      </w:pPr>
      <w:rPr>
        <w:rFonts w:ascii="Symbol" w:hAnsi="Symbol" w:hint="default"/>
      </w:rPr>
    </w:lvl>
    <w:lvl w:ilvl="6" w:tplc="BD0C2114" w:tentative="1">
      <w:start w:val="1"/>
      <w:numFmt w:val="bullet"/>
      <w:lvlText w:val=""/>
      <w:lvlPicBulletId w:val="0"/>
      <w:lvlJc w:val="left"/>
      <w:pPr>
        <w:tabs>
          <w:tab w:val="num" w:pos="5040"/>
        </w:tabs>
        <w:ind w:left="5040" w:hanging="360"/>
      </w:pPr>
      <w:rPr>
        <w:rFonts w:ascii="Symbol" w:hAnsi="Symbol" w:hint="default"/>
      </w:rPr>
    </w:lvl>
    <w:lvl w:ilvl="7" w:tplc="5E4CFA66" w:tentative="1">
      <w:start w:val="1"/>
      <w:numFmt w:val="bullet"/>
      <w:lvlText w:val=""/>
      <w:lvlPicBulletId w:val="0"/>
      <w:lvlJc w:val="left"/>
      <w:pPr>
        <w:tabs>
          <w:tab w:val="num" w:pos="5760"/>
        </w:tabs>
        <w:ind w:left="5760" w:hanging="360"/>
      </w:pPr>
      <w:rPr>
        <w:rFonts w:ascii="Symbol" w:hAnsi="Symbol" w:hint="default"/>
      </w:rPr>
    </w:lvl>
    <w:lvl w:ilvl="8" w:tplc="CF6CD934" w:tentative="1">
      <w:start w:val="1"/>
      <w:numFmt w:val="bullet"/>
      <w:lvlText w:val=""/>
      <w:lvlPicBulletId w:val="0"/>
      <w:lvlJc w:val="left"/>
      <w:pPr>
        <w:tabs>
          <w:tab w:val="num" w:pos="6480"/>
        </w:tabs>
        <w:ind w:left="6480" w:hanging="360"/>
      </w:pPr>
      <w:rPr>
        <w:rFonts w:ascii="Symbol" w:hAnsi="Symbol" w:hint="default"/>
      </w:rPr>
    </w:lvl>
  </w:abstractNum>
  <w:num w:numId="1" w16cid:durableId="1722485266">
    <w:abstractNumId w:val="1"/>
  </w:num>
  <w:num w:numId="2" w16cid:durableId="1974091438">
    <w:abstractNumId w:val="2"/>
  </w:num>
  <w:num w:numId="3" w16cid:durableId="1774474775">
    <w:abstractNumId w:val="3"/>
  </w:num>
  <w:num w:numId="4" w16cid:durableId="199048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activeWritingStyle w:appName="MSWord" w:lang="de-DE"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54"/>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DC"/>
    <w:rsid w:val="00031FB0"/>
    <w:rsid w:val="000541E0"/>
    <w:rsid w:val="000C3872"/>
    <w:rsid w:val="001708DF"/>
    <w:rsid w:val="002A2A9E"/>
    <w:rsid w:val="00312659"/>
    <w:rsid w:val="003A45BB"/>
    <w:rsid w:val="003A6683"/>
    <w:rsid w:val="003C1BFF"/>
    <w:rsid w:val="004276C7"/>
    <w:rsid w:val="004358E2"/>
    <w:rsid w:val="00483D40"/>
    <w:rsid w:val="004E33C1"/>
    <w:rsid w:val="005361C9"/>
    <w:rsid w:val="00543861"/>
    <w:rsid w:val="005A7E41"/>
    <w:rsid w:val="00644510"/>
    <w:rsid w:val="006B7F28"/>
    <w:rsid w:val="00745AC9"/>
    <w:rsid w:val="007B11A3"/>
    <w:rsid w:val="007C356A"/>
    <w:rsid w:val="00801584"/>
    <w:rsid w:val="00847E32"/>
    <w:rsid w:val="008E15B5"/>
    <w:rsid w:val="008F082E"/>
    <w:rsid w:val="00955C13"/>
    <w:rsid w:val="0096182B"/>
    <w:rsid w:val="009C0517"/>
    <w:rsid w:val="00A30F0C"/>
    <w:rsid w:val="00B655A1"/>
    <w:rsid w:val="00B74EAE"/>
    <w:rsid w:val="00BA1D0C"/>
    <w:rsid w:val="00BA3A4A"/>
    <w:rsid w:val="00C04F74"/>
    <w:rsid w:val="00C15F30"/>
    <w:rsid w:val="00C412F1"/>
    <w:rsid w:val="00C66F9D"/>
    <w:rsid w:val="00CB06C4"/>
    <w:rsid w:val="00CD6918"/>
    <w:rsid w:val="00D5149F"/>
    <w:rsid w:val="00D70CE8"/>
    <w:rsid w:val="00D73EE4"/>
    <w:rsid w:val="00DB722E"/>
    <w:rsid w:val="00E36007"/>
    <w:rsid w:val="00E873EA"/>
    <w:rsid w:val="00EC6B64"/>
    <w:rsid w:val="00F559DC"/>
    <w:rsid w:val="00F67DAD"/>
    <w:rsid w:val="00F72CB0"/>
    <w:rsid w:val="00FA77F0"/>
    <w:rsid w:val="00FD5E6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64906"/>
  <w15:chartTrackingRefBased/>
  <w15:docId w15:val="{7066E704-C290-4F12-92E2-555D887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0" w:line="360" w:lineRule="auto"/>
    </w:pPr>
    <w:rPr>
      <w:rFonts w:ascii="Arial" w:hAnsi="Arial"/>
      <w:color w:val="000000"/>
      <w:sz w:val="24"/>
      <w:szCs w:val="24"/>
      <w:lang w:val="en-GB" w:eastAsia="en-US"/>
    </w:rPr>
  </w:style>
  <w:style w:type="paragraph" w:styleId="berschrift1">
    <w:name w:val="heading 1"/>
    <w:basedOn w:val="Standard"/>
    <w:next w:val="Standard"/>
    <w:qFormat/>
    <w:pPr>
      <w:widowControl w:val="0"/>
      <w:spacing w:before="120" w:after="240" w:line="240" w:lineRule="auto"/>
      <w:outlineLvl w:val="0"/>
    </w:pPr>
    <w:rPr>
      <w:rFonts w:cs="Arial"/>
      <w:b/>
      <w:bCs/>
      <w:kern w:val="32"/>
      <w:sz w:val="36"/>
      <w:szCs w:val="32"/>
    </w:rPr>
  </w:style>
  <w:style w:type="paragraph" w:styleId="berschrift2">
    <w:name w:val="heading 2"/>
    <w:basedOn w:val="Standard"/>
    <w:next w:val="Standard"/>
    <w:qFormat/>
    <w:pPr>
      <w:keepNext/>
      <w:spacing w:before="240" w:line="240" w:lineRule="auto"/>
      <w:outlineLvl w:val="1"/>
    </w:pPr>
    <w:rPr>
      <w:rFonts w:cs="Arial"/>
      <w:b/>
      <w:bCs/>
      <w:i/>
      <w:iCs/>
    </w:rPr>
  </w:style>
  <w:style w:type="paragraph" w:styleId="berschrift3">
    <w:name w:val="heading 3"/>
    <w:basedOn w:val="Standard"/>
    <w:next w:val="Standard"/>
    <w:link w:val="berschrift3Zchn"/>
    <w:uiPriority w:val="9"/>
    <w:semiHidden/>
    <w:unhideWhenUsed/>
    <w:qFormat/>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ssemitteilung">
    <w:name w:val="Pressemitteilung"/>
    <w:basedOn w:val="Standard"/>
    <w:next w:val="Standard"/>
    <w:rPr>
      <w:b/>
      <w:sz w:val="48"/>
    </w:rPr>
  </w:style>
  <w:style w:type="character" w:styleId="Hyperlink">
    <w:name w:val="Hyperlink"/>
    <w:rPr>
      <w:color w:val="0000FF"/>
      <w:u w:val="single"/>
    </w:rPr>
  </w:style>
  <w:style w:type="paragraph" w:customStyle="1" w:styleId="Bildunterschrift">
    <w:name w:val="Bildunterschrift"/>
    <w:basedOn w:val="Standard"/>
    <w:pPr>
      <w:spacing w:before="120" w:line="240" w:lineRule="auto"/>
    </w:pPr>
    <w:rPr>
      <w:i/>
    </w:rPr>
  </w:style>
  <w:style w:type="paragraph" w:styleId="Kopfzeile">
    <w:name w:val="header"/>
    <w:basedOn w:val="Standard"/>
    <w:link w:val="KopfzeileZchn"/>
    <w:pPr>
      <w:pBdr>
        <w:bottom w:val="single" w:sz="4" w:space="1" w:color="auto"/>
      </w:pBdr>
      <w:tabs>
        <w:tab w:val="center" w:pos="4536"/>
        <w:tab w:val="right" w:pos="9072"/>
      </w:tabs>
      <w:spacing w:before="0" w:line="240" w:lineRule="auto"/>
      <w:jc w:val="center"/>
    </w:pPr>
    <w:rPr>
      <w:sz w:val="1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Default">
    <w:name w:val="Default"/>
    <w:pPr>
      <w:autoSpaceDE w:val="0"/>
      <w:autoSpaceDN w:val="0"/>
      <w:adjustRightInd w:val="0"/>
    </w:pPr>
    <w:rPr>
      <w:rFonts w:ascii="Arial" w:hAnsi="Arial" w:cs="Arial"/>
      <w:color w:val="000000"/>
      <w:sz w:val="24"/>
      <w:szCs w:val="24"/>
    </w:rPr>
  </w:style>
  <w:style w:type="table" w:customStyle="1" w:styleId="Tabellengitternetz">
    <w:name w:val="Tabellengitternetz"/>
    <w:basedOn w:val="NormaleTabelle"/>
    <w:pPr>
      <w:spacing w:before="36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eastAsia="en-US"/>
    </w:rPr>
  </w:style>
  <w:style w:type="character" w:customStyle="1" w:styleId="KopfzeileZchn">
    <w:name w:val="Kopfzeile Zchn"/>
    <w:link w:val="Kopfzeile"/>
    <w:rPr>
      <w:rFonts w:ascii="Arial" w:hAnsi="Arial"/>
      <w:color w:val="000000"/>
      <w:sz w:val="18"/>
      <w:szCs w:val="24"/>
      <w:lang w:eastAsia="en-US"/>
    </w:rPr>
  </w:style>
  <w:style w:type="paragraph" w:styleId="Sprechblasentext">
    <w:name w:val="Balloon Text"/>
    <w:basedOn w:val="Standard"/>
    <w:link w:val="SprechblasentextZchn"/>
    <w:uiPriority w:val="99"/>
    <w:semiHidden/>
    <w:unhideWhenUsed/>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eastAsia="en-US"/>
    </w:rPr>
  </w:style>
  <w:style w:type="character" w:styleId="Hervorhebung">
    <w:name w:val="Emphasis"/>
    <w:uiPriority w:val="20"/>
    <w:qFormat/>
    <w:rPr>
      <w:i/>
      <w:iCs/>
    </w:rPr>
  </w:style>
  <w:style w:type="paragraph" w:styleId="StandardWeb">
    <w:name w:val="Normal (Web)"/>
    <w:basedOn w:val="Standard"/>
    <w:uiPriority w:val="99"/>
    <w:unhideWhenUsed/>
    <w:pPr>
      <w:spacing w:before="0" w:after="100" w:afterAutospacing="1" w:line="240" w:lineRule="auto"/>
    </w:pPr>
    <w:rPr>
      <w:rFonts w:ascii="Times New Roman" w:hAnsi="Times New Roman"/>
      <w:color w:val="auto"/>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000000"/>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000000"/>
      <w:lang w:eastAsia="en-US"/>
    </w:rPr>
  </w:style>
  <w:style w:type="paragraph" w:styleId="berarbeitung">
    <w:name w:val="Revision"/>
    <w:hidden/>
    <w:uiPriority w:val="99"/>
    <w:semiHidden/>
    <w:rPr>
      <w:rFonts w:ascii="Arial" w:hAnsi="Arial"/>
      <w:color w:val="000000"/>
      <w:sz w:val="24"/>
      <w:szCs w:val="24"/>
      <w:lang w:eastAsia="en-US"/>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pPr>
      <w:numPr>
        <w:numId w:val="4"/>
      </w:numPr>
      <w:contextualSpacing/>
    </w:pPr>
  </w:style>
  <w:style w:type="character" w:styleId="NichtaufgelsteErwhnung">
    <w:name w:val="Unresolved Mention"/>
    <w:basedOn w:val="Absatz-Standardschriftart"/>
    <w:uiPriority w:val="99"/>
    <w:semiHidden/>
    <w:unhideWhenUsed/>
    <w:rsid w:val="00FA7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9305">
      <w:bodyDiv w:val="1"/>
      <w:marLeft w:val="0"/>
      <w:marRight w:val="0"/>
      <w:marTop w:val="0"/>
      <w:marBottom w:val="0"/>
      <w:divBdr>
        <w:top w:val="none" w:sz="0" w:space="0" w:color="auto"/>
        <w:left w:val="none" w:sz="0" w:space="0" w:color="auto"/>
        <w:bottom w:val="none" w:sz="0" w:space="0" w:color="auto"/>
        <w:right w:val="none" w:sz="0" w:space="0" w:color="auto"/>
      </w:divBdr>
      <w:divsChild>
        <w:div w:id="286202162">
          <w:marLeft w:val="979"/>
          <w:marRight w:val="0"/>
          <w:marTop w:val="65"/>
          <w:marBottom w:val="0"/>
          <w:divBdr>
            <w:top w:val="none" w:sz="0" w:space="0" w:color="auto"/>
            <w:left w:val="none" w:sz="0" w:space="0" w:color="auto"/>
            <w:bottom w:val="none" w:sz="0" w:space="0" w:color="auto"/>
            <w:right w:val="none" w:sz="0" w:space="0" w:color="auto"/>
          </w:divBdr>
        </w:div>
        <w:div w:id="674922295">
          <w:marLeft w:val="979"/>
          <w:marRight w:val="0"/>
          <w:marTop w:val="65"/>
          <w:marBottom w:val="0"/>
          <w:divBdr>
            <w:top w:val="none" w:sz="0" w:space="0" w:color="auto"/>
            <w:left w:val="none" w:sz="0" w:space="0" w:color="auto"/>
            <w:bottom w:val="none" w:sz="0" w:space="0" w:color="auto"/>
            <w:right w:val="none" w:sz="0" w:space="0" w:color="auto"/>
          </w:divBdr>
        </w:div>
      </w:divsChild>
    </w:div>
    <w:div w:id="274749186">
      <w:bodyDiv w:val="1"/>
      <w:marLeft w:val="0"/>
      <w:marRight w:val="0"/>
      <w:marTop w:val="0"/>
      <w:marBottom w:val="0"/>
      <w:divBdr>
        <w:top w:val="none" w:sz="0" w:space="0" w:color="auto"/>
        <w:left w:val="none" w:sz="0" w:space="0" w:color="auto"/>
        <w:bottom w:val="none" w:sz="0" w:space="0" w:color="auto"/>
        <w:right w:val="none" w:sz="0" w:space="0" w:color="auto"/>
      </w:divBdr>
    </w:div>
    <w:div w:id="417754608">
      <w:bodyDiv w:val="1"/>
      <w:marLeft w:val="0"/>
      <w:marRight w:val="0"/>
      <w:marTop w:val="0"/>
      <w:marBottom w:val="0"/>
      <w:divBdr>
        <w:top w:val="none" w:sz="0" w:space="0" w:color="auto"/>
        <w:left w:val="none" w:sz="0" w:space="0" w:color="auto"/>
        <w:bottom w:val="none" w:sz="0" w:space="0" w:color="auto"/>
        <w:right w:val="none" w:sz="0" w:space="0" w:color="auto"/>
      </w:divBdr>
      <w:divsChild>
        <w:div w:id="735590521">
          <w:marLeft w:val="0"/>
          <w:marRight w:val="0"/>
          <w:marTop w:val="0"/>
          <w:marBottom w:val="0"/>
          <w:divBdr>
            <w:top w:val="none" w:sz="0" w:space="0" w:color="auto"/>
            <w:left w:val="none" w:sz="0" w:space="0" w:color="auto"/>
            <w:bottom w:val="none" w:sz="0" w:space="0" w:color="auto"/>
            <w:right w:val="none" w:sz="0" w:space="0" w:color="auto"/>
          </w:divBdr>
          <w:divsChild>
            <w:div w:id="909922527">
              <w:marLeft w:val="0"/>
              <w:marRight w:val="0"/>
              <w:marTop w:val="0"/>
              <w:marBottom w:val="0"/>
              <w:divBdr>
                <w:top w:val="none" w:sz="0" w:space="0" w:color="auto"/>
                <w:left w:val="none" w:sz="0" w:space="0" w:color="auto"/>
                <w:bottom w:val="none" w:sz="0" w:space="0" w:color="auto"/>
                <w:right w:val="none" w:sz="0" w:space="0" w:color="auto"/>
              </w:divBdr>
              <w:divsChild>
                <w:div w:id="407727170">
                  <w:marLeft w:val="0"/>
                  <w:marRight w:val="0"/>
                  <w:marTop w:val="0"/>
                  <w:marBottom w:val="0"/>
                  <w:divBdr>
                    <w:top w:val="none" w:sz="0" w:space="0" w:color="auto"/>
                    <w:left w:val="none" w:sz="0" w:space="0" w:color="auto"/>
                    <w:bottom w:val="none" w:sz="0" w:space="0" w:color="auto"/>
                    <w:right w:val="none" w:sz="0" w:space="0" w:color="auto"/>
                  </w:divBdr>
                  <w:divsChild>
                    <w:div w:id="122426231">
                      <w:marLeft w:val="0"/>
                      <w:marRight w:val="0"/>
                      <w:marTop w:val="0"/>
                      <w:marBottom w:val="0"/>
                      <w:divBdr>
                        <w:top w:val="none" w:sz="0" w:space="0" w:color="auto"/>
                        <w:left w:val="none" w:sz="0" w:space="0" w:color="auto"/>
                        <w:bottom w:val="none" w:sz="0" w:space="0" w:color="auto"/>
                        <w:right w:val="none" w:sz="0" w:space="0" w:color="auto"/>
                      </w:divBdr>
                    </w:div>
                    <w:div w:id="378868671">
                      <w:marLeft w:val="0"/>
                      <w:marRight w:val="0"/>
                      <w:marTop w:val="0"/>
                      <w:marBottom w:val="0"/>
                      <w:divBdr>
                        <w:top w:val="none" w:sz="0" w:space="0" w:color="auto"/>
                        <w:left w:val="none" w:sz="0" w:space="0" w:color="auto"/>
                        <w:bottom w:val="none" w:sz="0" w:space="0" w:color="auto"/>
                        <w:right w:val="none" w:sz="0" w:space="0" w:color="auto"/>
                      </w:divBdr>
                    </w:div>
                    <w:div w:id="738284376">
                      <w:marLeft w:val="0"/>
                      <w:marRight w:val="0"/>
                      <w:marTop w:val="0"/>
                      <w:marBottom w:val="0"/>
                      <w:divBdr>
                        <w:top w:val="none" w:sz="0" w:space="0" w:color="auto"/>
                        <w:left w:val="none" w:sz="0" w:space="0" w:color="auto"/>
                        <w:bottom w:val="none" w:sz="0" w:space="0" w:color="auto"/>
                        <w:right w:val="none" w:sz="0" w:space="0" w:color="auto"/>
                      </w:divBdr>
                    </w:div>
                    <w:div w:id="1333336571">
                      <w:marLeft w:val="0"/>
                      <w:marRight w:val="0"/>
                      <w:marTop w:val="0"/>
                      <w:marBottom w:val="0"/>
                      <w:divBdr>
                        <w:top w:val="none" w:sz="0" w:space="0" w:color="auto"/>
                        <w:left w:val="none" w:sz="0" w:space="0" w:color="auto"/>
                        <w:bottom w:val="none" w:sz="0" w:space="0" w:color="auto"/>
                        <w:right w:val="none" w:sz="0" w:space="0" w:color="auto"/>
                      </w:divBdr>
                    </w:div>
                  </w:divsChild>
                </w:div>
                <w:div w:id="1395347319">
                  <w:marLeft w:val="0"/>
                  <w:marRight w:val="0"/>
                  <w:marTop w:val="0"/>
                  <w:marBottom w:val="0"/>
                  <w:divBdr>
                    <w:top w:val="none" w:sz="0" w:space="0" w:color="auto"/>
                    <w:left w:val="none" w:sz="0" w:space="0" w:color="auto"/>
                    <w:bottom w:val="none" w:sz="0" w:space="0" w:color="auto"/>
                    <w:right w:val="none" w:sz="0" w:space="0" w:color="auto"/>
                  </w:divBdr>
                  <w:divsChild>
                    <w:div w:id="194081164">
                      <w:marLeft w:val="0"/>
                      <w:marRight w:val="0"/>
                      <w:marTop w:val="0"/>
                      <w:marBottom w:val="0"/>
                      <w:divBdr>
                        <w:top w:val="none" w:sz="0" w:space="0" w:color="auto"/>
                        <w:left w:val="none" w:sz="0" w:space="0" w:color="auto"/>
                        <w:bottom w:val="none" w:sz="0" w:space="0" w:color="auto"/>
                        <w:right w:val="none" w:sz="0" w:space="0" w:color="auto"/>
                      </w:divBdr>
                    </w:div>
                    <w:div w:id="560290237">
                      <w:marLeft w:val="0"/>
                      <w:marRight w:val="0"/>
                      <w:marTop w:val="0"/>
                      <w:marBottom w:val="0"/>
                      <w:divBdr>
                        <w:top w:val="none" w:sz="0" w:space="0" w:color="auto"/>
                        <w:left w:val="none" w:sz="0" w:space="0" w:color="auto"/>
                        <w:bottom w:val="none" w:sz="0" w:space="0" w:color="auto"/>
                        <w:right w:val="none" w:sz="0" w:space="0" w:color="auto"/>
                      </w:divBdr>
                    </w:div>
                    <w:div w:id="1671714753">
                      <w:marLeft w:val="0"/>
                      <w:marRight w:val="0"/>
                      <w:marTop w:val="0"/>
                      <w:marBottom w:val="0"/>
                      <w:divBdr>
                        <w:top w:val="none" w:sz="0" w:space="0" w:color="auto"/>
                        <w:left w:val="none" w:sz="0" w:space="0" w:color="auto"/>
                        <w:bottom w:val="none" w:sz="0" w:space="0" w:color="auto"/>
                        <w:right w:val="none" w:sz="0" w:space="0" w:color="auto"/>
                      </w:divBdr>
                    </w:div>
                    <w:div w:id="20774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7069">
              <w:marLeft w:val="0"/>
              <w:marRight w:val="0"/>
              <w:marTop w:val="0"/>
              <w:marBottom w:val="0"/>
              <w:divBdr>
                <w:top w:val="none" w:sz="0" w:space="0" w:color="auto"/>
                <w:left w:val="none" w:sz="0" w:space="0" w:color="auto"/>
                <w:bottom w:val="none" w:sz="0" w:space="0" w:color="auto"/>
                <w:right w:val="none" w:sz="0" w:space="0" w:color="auto"/>
              </w:divBdr>
              <w:divsChild>
                <w:div w:id="1002199132">
                  <w:marLeft w:val="0"/>
                  <w:marRight w:val="0"/>
                  <w:marTop w:val="0"/>
                  <w:marBottom w:val="0"/>
                  <w:divBdr>
                    <w:top w:val="none" w:sz="0" w:space="0" w:color="auto"/>
                    <w:left w:val="none" w:sz="0" w:space="0" w:color="auto"/>
                    <w:bottom w:val="none" w:sz="0" w:space="0" w:color="auto"/>
                    <w:right w:val="none" w:sz="0" w:space="0" w:color="auto"/>
                  </w:divBdr>
                  <w:divsChild>
                    <w:div w:id="218824935">
                      <w:marLeft w:val="0"/>
                      <w:marRight w:val="0"/>
                      <w:marTop w:val="0"/>
                      <w:marBottom w:val="0"/>
                      <w:divBdr>
                        <w:top w:val="none" w:sz="0" w:space="0" w:color="auto"/>
                        <w:left w:val="none" w:sz="0" w:space="0" w:color="auto"/>
                        <w:bottom w:val="none" w:sz="0" w:space="0" w:color="auto"/>
                        <w:right w:val="none" w:sz="0" w:space="0" w:color="auto"/>
                      </w:divBdr>
                    </w:div>
                    <w:div w:id="862864167">
                      <w:marLeft w:val="0"/>
                      <w:marRight w:val="0"/>
                      <w:marTop w:val="0"/>
                      <w:marBottom w:val="0"/>
                      <w:divBdr>
                        <w:top w:val="none" w:sz="0" w:space="0" w:color="auto"/>
                        <w:left w:val="none" w:sz="0" w:space="0" w:color="auto"/>
                        <w:bottom w:val="none" w:sz="0" w:space="0" w:color="auto"/>
                        <w:right w:val="none" w:sz="0" w:space="0" w:color="auto"/>
                      </w:divBdr>
                    </w:div>
                    <w:div w:id="1118642870">
                      <w:marLeft w:val="0"/>
                      <w:marRight w:val="0"/>
                      <w:marTop w:val="0"/>
                      <w:marBottom w:val="0"/>
                      <w:divBdr>
                        <w:top w:val="none" w:sz="0" w:space="0" w:color="auto"/>
                        <w:left w:val="none" w:sz="0" w:space="0" w:color="auto"/>
                        <w:bottom w:val="none" w:sz="0" w:space="0" w:color="auto"/>
                        <w:right w:val="none" w:sz="0" w:space="0" w:color="auto"/>
                      </w:divBdr>
                    </w:div>
                    <w:div w:id="1827159106">
                      <w:marLeft w:val="0"/>
                      <w:marRight w:val="0"/>
                      <w:marTop w:val="0"/>
                      <w:marBottom w:val="0"/>
                      <w:divBdr>
                        <w:top w:val="none" w:sz="0" w:space="0" w:color="auto"/>
                        <w:left w:val="none" w:sz="0" w:space="0" w:color="auto"/>
                        <w:bottom w:val="none" w:sz="0" w:space="0" w:color="auto"/>
                        <w:right w:val="none" w:sz="0" w:space="0" w:color="auto"/>
                      </w:divBdr>
                    </w:div>
                  </w:divsChild>
                </w:div>
                <w:div w:id="1396395730">
                  <w:marLeft w:val="0"/>
                  <w:marRight w:val="0"/>
                  <w:marTop w:val="0"/>
                  <w:marBottom w:val="0"/>
                  <w:divBdr>
                    <w:top w:val="none" w:sz="0" w:space="0" w:color="auto"/>
                    <w:left w:val="none" w:sz="0" w:space="0" w:color="auto"/>
                    <w:bottom w:val="none" w:sz="0" w:space="0" w:color="auto"/>
                    <w:right w:val="none" w:sz="0" w:space="0" w:color="auto"/>
                  </w:divBdr>
                  <w:divsChild>
                    <w:div w:id="700474010">
                      <w:marLeft w:val="0"/>
                      <w:marRight w:val="0"/>
                      <w:marTop w:val="0"/>
                      <w:marBottom w:val="0"/>
                      <w:divBdr>
                        <w:top w:val="none" w:sz="0" w:space="0" w:color="auto"/>
                        <w:left w:val="none" w:sz="0" w:space="0" w:color="auto"/>
                        <w:bottom w:val="none" w:sz="0" w:space="0" w:color="auto"/>
                        <w:right w:val="none" w:sz="0" w:space="0" w:color="auto"/>
                      </w:divBdr>
                    </w:div>
                    <w:div w:id="1129133265">
                      <w:marLeft w:val="0"/>
                      <w:marRight w:val="0"/>
                      <w:marTop w:val="0"/>
                      <w:marBottom w:val="0"/>
                      <w:divBdr>
                        <w:top w:val="none" w:sz="0" w:space="0" w:color="auto"/>
                        <w:left w:val="none" w:sz="0" w:space="0" w:color="auto"/>
                        <w:bottom w:val="none" w:sz="0" w:space="0" w:color="auto"/>
                        <w:right w:val="none" w:sz="0" w:space="0" w:color="auto"/>
                      </w:divBdr>
                    </w:div>
                    <w:div w:id="1457673177">
                      <w:marLeft w:val="0"/>
                      <w:marRight w:val="0"/>
                      <w:marTop w:val="0"/>
                      <w:marBottom w:val="0"/>
                      <w:divBdr>
                        <w:top w:val="none" w:sz="0" w:space="0" w:color="auto"/>
                        <w:left w:val="none" w:sz="0" w:space="0" w:color="auto"/>
                        <w:bottom w:val="none" w:sz="0" w:space="0" w:color="auto"/>
                        <w:right w:val="none" w:sz="0" w:space="0" w:color="auto"/>
                      </w:divBdr>
                    </w:div>
                    <w:div w:id="14923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268979">
      <w:bodyDiv w:val="1"/>
      <w:marLeft w:val="0"/>
      <w:marRight w:val="0"/>
      <w:marTop w:val="0"/>
      <w:marBottom w:val="0"/>
      <w:divBdr>
        <w:top w:val="none" w:sz="0" w:space="0" w:color="auto"/>
        <w:left w:val="none" w:sz="0" w:space="0" w:color="auto"/>
        <w:bottom w:val="none" w:sz="0" w:space="0" w:color="auto"/>
        <w:right w:val="none" w:sz="0" w:space="0" w:color="auto"/>
      </w:divBdr>
    </w:div>
    <w:div w:id="586496518">
      <w:bodyDiv w:val="1"/>
      <w:marLeft w:val="0"/>
      <w:marRight w:val="0"/>
      <w:marTop w:val="0"/>
      <w:marBottom w:val="0"/>
      <w:divBdr>
        <w:top w:val="none" w:sz="0" w:space="0" w:color="auto"/>
        <w:left w:val="none" w:sz="0" w:space="0" w:color="auto"/>
        <w:bottom w:val="none" w:sz="0" w:space="0" w:color="auto"/>
        <w:right w:val="none" w:sz="0" w:space="0" w:color="auto"/>
      </w:divBdr>
    </w:div>
    <w:div w:id="737089733">
      <w:bodyDiv w:val="1"/>
      <w:marLeft w:val="0"/>
      <w:marRight w:val="0"/>
      <w:marTop w:val="0"/>
      <w:marBottom w:val="0"/>
      <w:divBdr>
        <w:top w:val="none" w:sz="0" w:space="0" w:color="auto"/>
        <w:left w:val="none" w:sz="0" w:space="0" w:color="auto"/>
        <w:bottom w:val="none" w:sz="0" w:space="0" w:color="auto"/>
        <w:right w:val="none" w:sz="0" w:space="0" w:color="auto"/>
      </w:divBdr>
    </w:div>
    <w:div w:id="778918102">
      <w:bodyDiv w:val="1"/>
      <w:marLeft w:val="0"/>
      <w:marRight w:val="0"/>
      <w:marTop w:val="0"/>
      <w:marBottom w:val="0"/>
      <w:divBdr>
        <w:top w:val="none" w:sz="0" w:space="0" w:color="auto"/>
        <w:left w:val="none" w:sz="0" w:space="0" w:color="auto"/>
        <w:bottom w:val="none" w:sz="0" w:space="0" w:color="auto"/>
        <w:right w:val="none" w:sz="0" w:space="0" w:color="auto"/>
      </w:divBdr>
    </w:div>
    <w:div w:id="842818118">
      <w:bodyDiv w:val="1"/>
      <w:marLeft w:val="0"/>
      <w:marRight w:val="0"/>
      <w:marTop w:val="0"/>
      <w:marBottom w:val="0"/>
      <w:divBdr>
        <w:top w:val="none" w:sz="0" w:space="0" w:color="auto"/>
        <w:left w:val="none" w:sz="0" w:space="0" w:color="auto"/>
        <w:bottom w:val="none" w:sz="0" w:space="0" w:color="auto"/>
        <w:right w:val="none" w:sz="0" w:space="0" w:color="auto"/>
      </w:divBdr>
    </w:div>
    <w:div w:id="1161236053">
      <w:bodyDiv w:val="1"/>
      <w:marLeft w:val="0"/>
      <w:marRight w:val="0"/>
      <w:marTop w:val="0"/>
      <w:marBottom w:val="0"/>
      <w:divBdr>
        <w:top w:val="none" w:sz="0" w:space="0" w:color="auto"/>
        <w:left w:val="none" w:sz="0" w:space="0" w:color="auto"/>
        <w:bottom w:val="none" w:sz="0" w:space="0" w:color="auto"/>
        <w:right w:val="none" w:sz="0" w:space="0" w:color="auto"/>
      </w:divBdr>
    </w:div>
    <w:div w:id="1260867262">
      <w:bodyDiv w:val="1"/>
      <w:marLeft w:val="0"/>
      <w:marRight w:val="0"/>
      <w:marTop w:val="0"/>
      <w:marBottom w:val="0"/>
      <w:divBdr>
        <w:top w:val="none" w:sz="0" w:space="0" w:color="auto"/>
        <w:left w:val="none" w:sz="0" w:space="0" w:color="auto"/>
        <w:bottom w:val="none" w:sz="0" w:space="0" w:color="auto"/>
        <w:right w:val="none" w:sz="0" w:space="0" w:color="auto"/>
      </w:divBdr>
    </w:div>
    <w:div w:id="1339385246">
      <w:bodyDiv w:val="1"/>
      <w:marLeft w:val="0"/>
      <w:marRight w:val="0"/>
      <w:marTop w:val="0"/>
      <w:marBottom w:val="0"/>
      <w:divBdr>
        <w:top w:val="none" w:sz="0" w:space="0" w:color="auto"/>
        <w:left w:val="none" w:sz="0" w:space="0" w:color="auto"/>
        <w:bottom w:val="none" w:sz="0" w:space="0" w:color="auto"/>
        <w:right w:val="none" w:sz="0" w:space="0" w:color="auto"/>
      </w:divBdr>
    </w:div>
    <w:div w:id="1527711346">
      <w:bodyDiv w:val="1"/>
      <w:marLeft w:val="0"/>
      <w:marRight w:val="0"/>
      <w:marTop w:val="0"/>
      <w:marBottom w:val="0"/>
      <w:divBdr>
        <w:top w:val="none" w:sz="0" w:space="0" w:color="auto"/>
        <w:left w:val="none" w:sz="0" w:space="0" w:color="auto"/>
        <w:bottom w:val="none" w:sz="0" w:space="0" w:color="auto"/>
        <w:right w:val="none" w:sz="0" w:space="0" w:color="auto"/>
      </w:divBdr>
    </w:div>
    <w:div w:id="1558980160">
      <w:bodyDiv w:val="1"/>
      <w:marLeft w:val="0"/>
      <w:marRight w:val="0"/>
      <w:marTop w:val="0"/>
      <w:marBottom w:val="0"/>
      <w:divBdr>
        <w:top w:val="none" w:sz="0" w:space="0" w:color="auto"/>
        <w:left w:val="none" w:sz="0" w:space="0" w:color="auto"/>
        <w:bottom w:val="none" w:sz="0" w:space="0" w:color="auto"/>
        <w:right w:val="none" w:sz="0" w:space="0" w:color="auto"/>
      </w:divBdr>
    </w:div>
    <w:div w:id="1581060923">
      <w:bodyDiv w:val="1"/>
      <w:marLeft w:val="0"/>
      <w:marRight w:val="0"/>
      <w:marTop w:val="0"/>
      <w:marBottom w:val="0"/>
      <w:divBdr>
        <w:top w:val="none" w:sz="0" w:space="0" w:color="auto"/>
        <w:left w:val="none" w:sz="0" w:space="0" w:color="auto"/>
        <w:bottom w:val="none" w:sz="0" w:space="0" w:color="auto"/>
        <w:right w:val="none" w:sz="0" w:space="0" w:color="auto"/>
      </w:divBdr>
    </w:div>
    <w:div w:id="214715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87F0-31AB-48D4-9F78-A453635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3535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KONSENS</Company>
  <LinksUpToDate>false</LinksUpToDate>
  <CharactersWithSpaces>4087</CharactersWithSpaces>
  <SharedDoc>false</SharedDoc>
  <HLinks>
    <vt:vector size="12" baseType="variant">
      <vt:variant>
        <vt:i4>3342386</vt:i4>
      </vt:variant>
      <vt:variant>
        <vt:i4>3</vt:i4>
      </vt:variant>
      <vt:variant>
        <vt:i4>0</vt:i4>
      </vt:variant>
      <vt:variant>
        <vt:i4>5</vt:i4>
      </vt:variant>
      <vt:variant>
        <vt:lpwstr>http://www.technocompound.com/</vt:lpwstr>
      </vt:variant>
      <vt:variant>
        <vt:lpwstr/>
      </vt:variant>
      <vt:variant>
        <vt:i4>2031664</vt:i4>
      </vt:variant>
      <vt:variant>
        <vt:i4>0</vt:i4>
      </vt:variant>
      <vt:variant>
        <vt:i4>0</vt:i4>
      </vt:variant>
      <vt:variant>
        <vt:i4>5</vt:i4>
      </vt:variant>
      <vt:variant>
        <vt:lpwstr>mailto:mail@konsens.de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BW</dc:creator>
  <cp:keywords/>
  <dc:description/>
  <cp:lastModifiedBy>Sandra Amann</cp:lastModifiedBy>
  <cp:revision>4</cp:revision>
  <cp:lastPrinted>2009-03-23T15:46:00Z</cp:lastPrinted>
  <dcterms:created xsi:type="dcterms:W3CDTF">2026-09-21T13:23:00Z</dcterms:created>
  <dcterms:modified xsi:type="dcterms:W3CDTF">2026-09-22T13:09:00Z</dcterms:modified>
</cp:coreProperties>
</file>