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DE010" w14:textId="77777777" w:rsidR="00E873EA" w:rsidRPr="00E80B94" w:rsidRDefault="00722385" w:rsidP="00E873EA">
      <w:pPr>
        <w:spacing w:before="100" w:beforeAutospacing="1" w:after="100" w:afterAutospacing="1" w:line="240" w:lineRule="auto"/>
        <w:rPr>
          <w:rFonts w:cs="Arial"/>
          <w:color w:val="auto"/>
          <w:lang w:val="es-ES"/>
        </w:rPr>
      </w:pPr>
      <w:r>
        <w:rPr>
          <w:rFonts w:asciiTheme="minorBidi" w:hAnsiTheme="minorBidi"/>
          <w:b/>
          <w:bCs/>
          <w:sz w:val="32"/>
          <w:szCs w:val="32"/>
          <w:lang w:val="es-ES"/>
        </w:rPr>
        <w:t>Liderazgo en materia de sostenibilidad:</w:t>
      </w:r>
      <w:r>
        <w:rPr>
          <w:rFonts w:asciiTheme="minorBidi" w:hAnsiTheme="minorBidi"/>
          <w:sz w:val="32"/>
          <w:szCs w:val="32"/>
          <w:lang w:val="es-ES"/>
        </w:rPr>
        <w:br/>
      </w:r>
      <w:r>
        <w:rPr>
          <w:rFonts w:asciiTheme="minorBidi" w:hAnsiTheme="minorBidi"/>
          <w:b/>
          <w:bCs/>
          <w:sz w:val="40"/>
          <w:szCs w:val="40"/>
          <w:lang w:val="es-ES"/>
        </w:rPr>
        <w:t>TechnoCompound obtiene la certificación de plata de EcoVadis</w:t>
      </w:r>
    </w:p>
    <w:p w14:paraId="1A99A4D3" w14:textId="77777777" w:rsidR="00E873EA" w:rsidRPr="00E80B94" w:rsidRDefault="00722385" w:rsidP="00E873EA">
      <w:pPr>
        <w:spacing w:before="100" w:beforeAutospacing="1" w:after="100" w:afterAutospacing="1" w:line="240" w:lineRule="auto"/>
        <w:rPr>
          <w:rFonts w:eastAsiaTheme="majorEastAsia" w:cs="Arial"/>
          <w:i/>
          <w:iCs/>
          <w:color w:val="auto"/>
          <w:lang w:val="es-ES"/>
        </w:rPr>
      </w:pPr>
      <w:r>
        <w:rPr>
          <w:rFonts w:eastAsiaTheme="majorEastAsia" w:cs="Arial"/>
          <w:i/>
          <w:iCs/>
          <w:color w:val="auto"/>
          <w:lang w:val="es-ES"/>
        </w:rPr>
        <w:t>El galardón reconoce un enfoque integral de la sostenibilidad: TechnoCompound se encuentra entre el 3 % de las mejores empresas de su sector.</w:t>
      </w:r>
    </w:p>
    <w:p w14:paraId="1354F26B" w14:textId="77777777" w:rsidR="00E873EA" w:rsidRPr="00E873EA" w:rsidRDefault="00722385" w:rsidP="00E873EA">
      <w:pPr>
        <w:spacing w:before="0" w:after="160" w:line="259" w:lineRule="auto"/>
        <w:rPr>
          <w:rFonts w:eastAsiaTheme="minorHAnsi" w:cstheme="minorBidi"/>
          <w:color w:val="0000FF"/>
          <w:sz w:val="20"/>
          <w:szCs w:val="22"/>
        </w:rPr>
      </w:pPr>
      <w:r>
        <w:rPr>
          <w:rFonts w:eastAsiaTheme="minorHAnsi" w:cstheme="minorBidi"/>
          <w:noProof/>
          <w:color w:val="0000FF"/>
          <w:sz w:val="20"/>
          <w:szCs w:val="22"/>
          <w:lang w:val="es-ES"/>
        </w:rPr>
        <w:drawing>
          <wp:inline distT="0" distB="0" distL="0" distR="0" wp14:anchorId="43D74495" wp14:editId="79BD8590">
            <wp:extent cx="5734475" cy="2686050"/>
            <wp:effectExtent l="0" t="0" r="0" b="0"/>
            <wp:docPr id="2042967595" name="Grafik 2042967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967595" name="Grafik 20429675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40000" cy="2688638"/>
                    </a:xfrm>
                    <a:prstGeom prst="rect">
                      <a:avLst/>
                    </a:prstGeom>
                  </pic:spPr>
                </pic:pic>
              </a:graphicData>
            </a:graphic>
          </wp:inline>
        </w:drawing>
      </w:r>
    </w:p>
    <w:p w14:paraId="3CE4BC74" w14:textId="77777777" w:rsidR="00E873EA" w:rsidRPr="00E80B94" w:rsidRDefault="00722385" w:rsidP="00E873EA">
      <w:pPr>
        <w:spacing w:before="0" w:after="160" w:line="259" w:lineRule="auto"/>
        <w:rPr>
          <w:rFonts w:eastAsiaTheme="minorHAnsi" w:cstheme="minorBidi"/>
          <w:i/>
          <w:color w:val="auto"/>
          <w:sz w:val="20"/>
          <w:szCs w:val="22"/>
          <w:lang w:val="es-ES"/>
        </w:rPr>
      </w:pPr>
      <w:r>
        <w:rPr>
          <w:rFonts w:eastAsiaTheme="minorHAnsi" w:cstheme="minorBidi"/>
          <w:i/>
          <w:iCs/>
          <w:color w:val="auto"/>
          <w:sz w:val="20"/>
          <w:szCs w:val="22"/>
          <w:lang w:val="es-ES"/>
        </w:rPr>
        <w:t>TechnoCompound, planta de producción en Bad Sobernheim</w:t>
      </w:r>
    </w:p>
    <w:p w14:paraId="2E1E6FDB" w14:textId="2A0F7007" w:rsidR="00E873EA" w:rsidRPr="00E80B94" w:rsidRDefault="00722385" w:rsidP="00E873EA">
      <w:pPr>
        <w:spacing w:before="100" w:beforeAutospacing="1" w:after="100" w:afterAutospacing="1" w:line="240" w:lineRule="auto"/>
        <w:rPr>
          <w:rFonts w:cs="Arial"/>
          <w:color w:val="auto"/>
          <w:lang w:val="es-ES"/>
        </w:rPr>
      </w:pPr>
      <w:r>
        <w:rPr>
          <w:rFonts w:cs="Arial"/>
          <w:color w:val="auto"/>
          <w:lang w:val="es-ES"/>
        </w:rPr>
        <w:t xml:space="preserve">Bad Sobernheim (Alemania), </w:t>
      </w:r>
      <w:r w:rsidR="00AA47B6">
        <w:rPr>
          <w:rFonts w:cs="Arial"/>
          <w:color w:val="auto"/>
          <w:lang w:val="es-ES"/>
        </w:rPr>
        <w:t>agosto</w:t>
      </w:r>
      <w:r>
        <w:rPr>
          <w:rFonts w:cs="Arial"/>
          <w:color w:val="auto"/>
          <w:lang w:val="es-ES"/>
        </w:rPr>
        <w:t xml:space="preserve"> de 2026. TechnoCompound recibió la medalla de plata de EcoVadis en su primera certificación y se quedó a las puertas de conseguir la medalla de oro. Dentro de la valoración global de EcoVadis, en la que se han evaluado unas 8000 empresas del sector, TechnoCompound se sitúa entre el 3 % mejor valorado y entre el 6 % con mejores resultados de las 130 000 empresas evaluadas de todos los sectores. Ya en 2025, TechnoCompound obtuvo la certificación OCS (Operation Clean Sweep), un programa internacional voluntario de la industria del plástico cuyo objetivo es evitar la pérdida de granulado de plástico a lo largo de toda la cadena de valor, con el fin de impedir que estos materiales lleguen al medioambiente o a las masas de agua.</w:t>
      </w:r>
    </w:p>
    <w:p w14:paraId="60B5E37F" w14:textId="77777777" w:rsidR="00E873EA" w:rsidRPr="00E80B94" w:rsidRDefault="00722385" w:rsidP="00E873EA">
      <w:pPr>
        <w:spacing w:before="100" w:beforeAutospacing="1" w:after="100" w:afterAutospacing="1" w:line="240" w:lineRule="auto"/>
        <w:rPr>
          <w:rFonts w:cs="Arial"/>
          <w:color w:val="auto"/>
          <w:lang w:val="es-ES"/>
        </w:rPr>
      </w:pPr>
      <w:r>
        <w:rPr>
          <w:rFonts w:cs="Arial"/>
          <w:color w:val="auto"/>
          <w:lang w:val="es-ES"/>
        </w:rPr>
        <w:t>EcoVadis es uno de los principales proveedores mundiales de cualificaciones de sostenibilidad para empresas. Entre otros aspectos, se evalúan el medioambiente, las condiciones laborales y</w:t>
      </w:r>
      <w:r>
        <w:rPr>
          <w:rFonts w:cs="Arial"/>
          <w:b/>
          <w:bCs/>
          <w:color w:val="auto"/>
          <w:lang w:val="es-ES"/>
        </w:rPr>
        <w:t xml:space="preserve"> </w:t>
      </w:r>
      <w:r>
        <w:rPr>
          <w:rFonts w:cs="Arial"/>
          <w:color w:val="auto"/>
          <w:lang w:val="es-ES"/>
        </w:rPr>
        <w:t>los derechos humanos</w:t>
      </w:r>
      <w:r>
        <w:rPr>
          <w:rFonts w:cs="Arial"/>
          <w:b/>
          <w:bCs/>
          <w:color w:val="auto"/>
          <w:lang w:val="es-ES"/>
        </w:rPr>
        <w:t xml:space="preserve">, </w:t>
      </w:r>
      <w:r>
        <w:rPr>
          <w:rFonts w:cs="Arial"/>
          <w:color w:val="auto"/>
          <w:lang w:val="es-ES"/>
        </w:rPr>
        <w:t>la ética y la contratación sostenible. Con la distinción de plata, TechnoCompound se sitúa entre las empresas más competitivas del sector evaluado.</w:t>
      </w:r>
    </w:p>
    <w:p w14:paraId="3CE56F28" w14:textId="77777777" w:rsidR="00E873EA" w:rsidRPr="00E80B94" w:rsidRDefault="00722385" w:rsidP="00E873EA">
      <w:pPr>
        <w:spacing w:before="100" w:beforeAutospacing="1" w:after="100" w:afterAutospacing="1" w:line="240" w:lineRule="auto"/>
        <w:rPr>
          <w:rFonts w:cs="Arial"/>
          <w:color w:val="auto"/>
          <w:lang w:val="es-ES"/>
        </w:rPr>
      </w:pPr>
      <w:r>
        <w:rPr>
          <w:rFonts w:cs="Arial"/>
          <w:color w:val="auto"/>
          <w:lang w:val="es-ES"/>
        </w:rPr>
        <w:t>Gerald Aengenheyster, responsable de I+D y de sostenibilidad de la empresa, se muestra satisfecho: «Este reconocimiento valora los grandes logros de TechnoCompound en el ámbito de la sostenibilidad y subraya nuestro compromiso continuo con una gestión empresarial responsable».</w:t>
      </w:r>
    </w:p>
    <w:p w14:paraId="48E61A36" w14:textId="77777777" w:rsidR="00E873EA" w:rsidRPr="00E873EA" w:rsidRDefault="00722385" w:rsidP="00E873EA">
      <w:pPr>
        <w:spacing w:before="0" w:after="160" w:line="259" w:lineRule="auto"/>
        <w:rPr>
          <w:rFonts w:eastAsiaTheme="minorHAnsi" w:cstheme="minorBidi"/>
          <w:color w:val="auto"/>
          <w:sz w:val="20"/>
          <w:szCs w:val="22"/>
        </w:rPr>
      </w:pPr>
      <w:r>
        <w:rPr>
          <w:rFonts w:eastAsiaTheme="minorHAnsi" w:cstheme="minorBidi"/>
          <w:noProof/>
          <w:color w:val="auto"/>
          <w:sz w:val="20"/>
          <w:szCs w:val="22"/>
          <w:lang w:val="es-ES"/>
        </w:rPr>
        <w:lastRenderedPageBreak/>
        <w:drawing>
          <wp:inline distT="0" distB="0" distL="0" distR="0" wp14:anchorId="1BC60571" wp14:editId="16CB874F">
            <wp:extent cx="5040000" cy="3351600"/>
            <wp:effectExtent l="0" t="0" r="8255" b="127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040000" cy="3351600"/>
                    </a:xfrm>
                    <a:prstGeom prst="rect">
                      <a:avLst/>
                    </a:prstGeom>
                    <a:noFill/>
                    <a:ln>
                      <a:noFill/>
                    </a:ln>
                  </pic:spPr>
                </pic:pic>
              </a:graphicData>
            </a:graphic>
          </wp:inline>
        </w:drawing>
      </w:r>
    </w:p>
    <w:p w14:paraId="3E886ACD" w14:textId="77777777" w:rsidR="00E873EA" w:rsidRPr="00E80B94" w:rsidRDefault="00722385" w:rsidP="00E873EA">
      <w:pPr>
        <w:spacing w:before="0" w:after="160" w:line="259" w:lineRule="auto"/>
        <w:rPr>
          <w:rFonts w:eastAsiaTheme="minorHAnsi" w:cstheme="minorBidi"/>
          <w:i/>
          <w:color w:val="auto"/>
          <w:sz w:val="20"/>
          <w:szCs w:val="22"/>
          <w:lang w:val="es-ES"/>
        </w:rPr>
      </w:pPr>
      <w:r>
        <w:rPr>
          <w:rFonts w:eastAsiaTheme="minorHAnsi" w:cstheme="minorBidi"/>
          <w:i/>
          <w:iCs/>
          <w:color w:val="auto"/>
          <w:sz w:val="20"/>
          <w:szCs w:val="22"/>
          <w:lang w:val="es-ES"/>
        </w:rPr>
        <w:t>Dr. Gerald Aengenheyster, responsable de I+D y sostenibilidad de la empresa de TechnoCompound</w:t>
      </w:r>
    </w:p>
    <w:p w14:paraId="12760481" w14:textId="77777777" w:rsidR="00E873EA" w:rsidRPr="00E80B94" w:rsidRDefault="00722385" w:rsidP="00E873EA">
      <w:pPr>
        <w:spacing w:before="100" w:beforeAutospacing="1" w:after="100" w:afterAutospacing="1" w:line="240" w:lineRule="auto"/>
        <w:rPr>
          <w:rFonts w:cs="Arial"/>
          <w:color w:val="auto"/>
          <w:lang w:val="es-ES"/>
        </w:rPr>
      </w:pPr>
      <w:r>
        <w:rPr>
          <w:rFonts w:cs="Arial"/>
          <w:color w:val="auto"/>
          <w:lang w:val="es-ES"/>
        </w:rPr>
        <w:t>TechnoCompound aplica un enfoque integral de sostenibilidad: desde procesos de producción que preservan los recursos hasta una gestión responsable de las cadenas de suministro y el cumplimiento de las normas sociales en la empresa. Este galardón refleja los avances logrados en estos ámbitos y refuerza la confianza de los clientes, socios y demás partes interesadas.</w:t>
      </w:r>
    </w:p>
    <w:p w14:paraId="54978E05" w14:textId="77777777" w:rsidR="00E873EA" w:rsidRPr="00E80B94" w:rsidRDefault="00722385" w:rsidP="00E873EA">
      <w:pPr>
        <w:spacing w:before="0" w:after="160" w:line="259" w:lineRule="auto"/>
        <w:rPr>
          <w:rFonts w:eastAsiaTheme="minorHAnsi" w:cs="Arial"/>
          <w:color w:val="auto"/>
          <w:lang w:val="es-ES"/>
        </w:rPr>
      </w:pPr>
      <w:r>
        <w:rPr>
          <w:rFonts w:eastAsiaTheme="minorHAnsi" w:cs="Arial"/>
          <w:color w:val="auto"/>
          <w:lang w:val="es-ES"/>
        </w:rPr>
        <w:t>El director general, Dirk Breitbach, afirma al respecto: «La sostenibilidad es un elemento fundamental de la estrategia empresarial a largo plazo de TechnoCompound. En el futuro, la empresa seguirá invirtiendo de forma específica en las medidas e innovaciones pertinentes».</w:t>
      </w:r>
    </w:p>
    <w:p w14:paraId="553048C1" w14:textId="77777777" w:rsidR="00E873EA" w:rsidRPr="00E873EA" w:rsidRDefault="00722385" w:rsidP="00E873EA">
      <w:pPr>
        <w:spacing w:before="0" w:after="160" w:line="259" w:lineRule="auto"/>
        <w:rPr>
          <w:rFonts w:eastAsiaTheme="minorHAnsi" w:cstheme="minorBidi"/>
          <w:color w:val="auto"/>
          <w:sz w:val="20"/>
          <w:szCs w:val="22"/>
        </w:rPr>
      </w:pPr>
      <w:r>
        <w:rPr>
          <w:rFonts w:eastAsiaTheme="minorHAnsi" w:cstheme="minorBidi"/>
          <w:noProof/>
          <w:color w:val="auto"/>
          <w:sz w:val="20"/>
          <w:szCs w:val="22"/>
          <w:lang w:val="es-ES"/>
        </w:rPr>
        <w:drawing>
          <wp:inline distT="0" distB="0" distL="0" distR="0" wp14:anchorId="1912B193" wp14:editId="7D332000">
            <wp:extent cx="5040000" cy="3351600"/>
            <wp:effectExtent l="0" t="0" r="8255"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040000" cy="3351600"/>
                    </a:xfrm>
                    <a:prstGeom prst="rect">
                      <a:avLst/>
                    </a:prstGeom>
                    <a:noFill/>
                    <a:ln>
                      <a:noFill/>
                    </a:ln>
                  </pic:spPr>
                </pic:pic>
              </a:graphicData>
            </a:graphic>
          </wp:inline>
        </w:drawing>
      </w:r>
    </w:p>
    <w:p w14:paraId="38640661" w14:textId="77777777" w:rsidR="00E873EA" w:rsidRPr="00E80B94" w:rsidRDefault="00722385" w:rsidP="00E873EA">
      <w:pPr>
        <w:spacing w:before="0" w:after="160" w:line="259" w:lineRule="auto"/>
        <w:rPr>
          <w:rFonts w:eastAsiaTheme="minorHAnsi" w:cstheme="minorBidi"/>
          <w:i/>
          <w:color w:val="auto"/>
          <w:sz w:val="20"/>
          <w:szCs w:val="22"/>
          <w:lang w:val="es-ES"/>
        </w:rPr>
      </w:pPr>
      <w:r>
        <w:rPr>
          <w:rFonts w:eastAsiaTheme="minorHAnsi" w:cstheme="minorBidi"/>
          <w:i/>
          <w:iCs/>
          <w:color w:val="auto"/>
          <w:sz w:val="20"/>
          <w:szCs w:val="22"/>
          <w:lang w:val="es-ES"/>
        </w:rPr>
        <w:t>Dirk Breitbach, director general de TechnoCompound</w:t>
      </w:r>
    </w:p>
    <w:p w14:paraId="70559126" w14:textId="77777777" w:rsidR="00E873EA" w:rsidRPr="00E80B94" w:rsidRDefault="00722385" w:rsidP="00E873EA">
      <w:pPr>
        <w:spacing w:before="120" w:beforeAutospacing="1" w:line="240" w:lineRule="auto"/>
        <w:jc w:val="both"/>
        <w:rPr>
          <w:rFonts w:cs="Arial"/>
          <w:color w:val="auto"/>
          <w:sz w:val="18"/>
          <w:szCs w:val="18"/>
          <w:lang w:val="es-ES"/>
        </w:rPr>
      </w:pPr>
      <w:r>
        <w:rPr>
          <w:rFonts w:eastAsiaTheme="majorEastAsia" w:cs="Arial"/>
          <w:i/>
          <w:iCs/>
          <w:color w:val="auto"/>
          <w:sz w:val="18"/>
          <w:szCs w:val="18"/>
          <w:lang w:val="es-ES"/>
        </w:rPr>
        <w:lastRenderedPageBreak/>
        <w:t>TechnoCompound GmbH (www.technocompound.com), con sede en Bad Sobernheim y perteneciente al grupo Polymer (www.polymer-gruppe.de), es un proveedor líder en Europa de compuestos plásticos a medida y cuenta con una plantilla de 105 empleados. Dispone de instalaciones de producción de última generación y se dedica a la formulación, el acabado y la modificación de polímeros, con una capacidad de producción de 60 000 t/a para aplicaciones específicas de clientes. La amplia gama de productos de plásticos modificados funcionalmente abarca desde productos básicos hasta compuestos técnicos y elastómeros termoplásticos.</w:t>
      </w:r>
    </w:p>
    <w:p w14:paraId="1DAE5DD0" w14:textId="77777777" w:rsidR="00E873EA" w:rsidRPr="00E80B94" w:rsidRDefault="00722385" w:rsidP="00E873EA">
      <w:pPr>
        <w:spacing w:before="120" w:beforeAutospacing="1" w:line="240" w:lineRule="auto"/>
        <w:jc w:val="both"/>
        <w:rPr>
          <w:rFonts w:eastAsiaTheme="majorEastAsia" w:cs="Arial"/>
          <w:iCs/>
          <w:color w:val="auto"/>
          <w:sz w:val="18"/>
          <w:szCs w:val="18"/>
          <w:lang w:val="es-ES"/>
        </w:rPr>
      </w:pPr>
      <w:r>
        <w:rPr>
          <w:rFonts w:eastAsiaTheme="majorEastAsia" w:cs="Arial"/>
          <w:i/>
          <w:iCs/>
          <w:color w:val="auto"/>
          <w:sz w:val="18"/>
          <w:szCs w:val="18"/>
          <w:lang w:val="es-ES"/>
        </w:rPr>
        <w:t xml:space="preserve">El principal ámbito de aplicación de estos plásticos es la industria del automóvil y sus proveedores. No obstante, también se ofrecen soluciones para los sectores de la logística, el embalaje y la construcción. Gracias a una estructura organizativa ágil y a sus modernas instalaciones, diseñadas para optimizar el rendimiento, TechnoCompound GmbH puede ofrecer sus productos a precios competitivos. La oferta de servicio integral incluye el asesoramiento técnico in situ, así como el desarrollo de compuestos personalizados y adaptados a una aplicación concreta. </w:t>
      </w:r>
    </w:p>
    <w:p w14:paraId="4551A38B" w14:textId="77777777" w:rsidR="00E873EA" w:rsidRPr="00E80B94" w:rsidRDefault="00722385" w:rsidP="00E873EA">
      <w:pPr>
        <w:spacing w:before="120" w:beforeAutospacing="1" w:line="240" w:lineRule="auto"/>
        <w:jc w:val="both"/>
        <w:rPr>
          <w:rFonts w:eastAsiaTheme="majorEastAsia" w:cs="Arial"/>
          <w:iCs/>
          <w:color w:val="auto"/>
          <w:sz w:val="18"/>
          <w:szCs w:val="18"/>
          <w:lang w:val="es-ES"/>
        </w:rPr>
      </w:pPr>
      <w:r>
        <w:rPr>
          <w:rFonts w:eastAsiaTheme="majorEastAsia" w:cs="Arial"/>
          <w:i/>
          <w:iCs/>
          <w:color w:val="auto"/>
          <w:sz w:val="18"/>
          <w:szCs w:val="18"/>
          <w:lang w:val="es-ES"/>
        </w:rPr>
        <w:t>El grupo Polymer, con sede en Bad Sobernheim, surgió de la empresa Polymer-Chemie GmbH, fundada en 1973, una empresa familiar independiente dedicada a la formulación, el acabado y la modificación de plásticos. Con flexibilidad y eficacia, presta cada vez más apoyo a sus clientes en todo el mundo y ofrece productos innovadores y a medida de la máxima calidad. En la actualidad, el grupo Polymer está formado por las empresas de compuestos Polymer-Chemie, Polymer-Chemie Rus, Sun Alloys Europe, TechnoCompound, PolyMIM y SoBiCo, y cuenta con más de 500 empleados.</w:t>
      </w:r>
    </w:p>
    <w:p w14:paraId="67FBE110" w14:textId="77777777" w:rsidR="00E873EA" w:rsidRPr="00E80B94" w:rsidRDefault="00722385" w:rsidP="00E873EA">
      <w:pPr>
        <w:spacing w:before="240" w:after="160" w:line="240" w:lineRule="auto"/>
        <w:rPr>
          <w:rFonts w:eastAsiaTheme="minorHAnsi" w:cstheme="minorBidi"/>
          <w:color w:val="auto"/>
          <w:sz w:val="22"/>
          <w:szCs w:val="22"/>
          <w:u w:val="single"/>
          <w:lang w:val="es-ES"/>
        </w:rPr>
      </w:pPr>
      <w:r>
        <w:rPr>
          <w:rFonts w:eastAsiaTheme="minorHAnsi" w:cstheme="minorBidi"/>
          <w:color w:val="auto"/>
          <w:sz w:val="22"/>
          <w:szCs w:val="22"/>
          <w:u w:val="single"/>
          <w:lang w:val="es-ES"/>
        </w:rPr>
        <w:t>Más información:</w:t>
      </w:r>
    </w:p>
    <w:p w14:paraId="44F60D49" w14:textId="77777777" w:rsidR="00E873EA" w:rsidRPr="00E80B94" w:rsidRDefault="00722385" w:rsidP="00E873EA">
      <w:pPr>
        <w:spacing w:before="0" w:after="120" w:line="240" w:lineRule="auto"/>
        <w:ind w:left="567"/>
        <w:rPr>
          <w:rFonts w:eastAsiaTheme="minorHAnsi" w:cstheme="minorBidi"/>
          <w:color w:val="auto"/>
          <w:sz w:val="22"/>
          <w:szCs w:val="22"/>
          <w:lang w:val="es-ES"/>
        </w:rPr>
      </w:pPr>
      <w:r>
        <w:rPr>
          <w:rFonts w:eastAsiaTheme="minorHAnsi" w:cstheme="minorBidi"/>
          <w:color w:val="auto"/>
          <w:sz w:val="22"/>
          <w:szCs w:val="22"/>
          <w:lang w:val="es-ES"/>
        </w:rPr>
        <w:t>Rifat Erden, director de Ventas y Marketing de TechnoCompound GmbH,</w:t>
      </w:r>
      <w:r>
        <w:rPr>
          <w:rFonts w:eastAsiaTheme="minorHAnsi" w:cstheme="minorBidi"/>
          <w:color w:val="auto"/>
          <w:sz w:val="22"/>
          <w:szCs w:val="22"/>
          <w:lang w:val="es-ES"/>
        </w:rPr>
        <w:br/>
        <w:t>Am Gefach, D-55566 Bad Sobernheim</w:t>
      </w:r>
      <w:r>
        <w:rPr>
          <w:rFonts w:eastAsiaTheme="minorHAnsi" w:cstheme="minorBidi"/>
          <w:color w:val="auto"/>
          <w:sz w:val="22"/>
          <w:szCs w:val="22"/>
          <w:lang w:val="es-ES"/>
        </w:rPr>
        <w:br/>
        <w:t>Tel.: +49 (0) 67 51/8 56 05-472, rifat.erden@technocompound.com</w:t>
      </w:r>
    </w:p>
    <w:p w14:paraId="2E6887A2" w14:textId="77777777" w:rsidR="00E873EA" w:rsidRPr="00E80B94" w:rsidRDefault="00722385" w:rsidP="00E873EA">
      <w:pPr>
        <w:spacing w:before="0" w:after="160" w:line="240" w:lineRule="auto"/>
        <w:rPr>
          <w:rFonts w:eastAsiaTheme="minorHAnsi" w:cstheme="minorBidi"/>
          <w:color w:val="auto"/>
          <w:sz w:val="22"/>
          <w:szCs w:val="22"/>
          <w:u w:val="single"/>
          <w:lang w:val="es-ES"/>
        </w:rPr>
      </w:pPr>
      <w:r>
        <w:rPr>
          <w:rFonts w:eastAsiaTheme="minorHAnsi" w:cstheme="minorBidi"/>
          <w:color w:val="auto"/>
          <w:sz w:val="22"/>
          <w:szCs w:val="22"/>
          <w:u w:val="single"/>
          <w:lang w:val="es-ES"/>
        </w:rPr>
        <w:t>Contacto editorial y ejemplares de muestra:</w:t>
      </w:r>
    </w:p>
    <w:p w14:paraId="7B280AB8" w14:textId="77777777" w:rsidR="00E873EA" w:rsidRPr="00E80B94" w:rsidRDefault="00722385" w:rsidP="00E873EA">
      <w:pPr>
        <w:spacing w:before="0" w:after="120" w:line="240" w:lineRule="auto"/>
        <w:ind w:left="567"/>
        <w:rPr>
          <w:rFonts w:eastAsiaTheme="minorHAnsi" w:cstheme="minorBidi"/>
          <w:color w:val="auto"/>
          <w:sz w:val="22"/>
          <w:szCs w:val="22"/>
          <w:lang w:val="es-ES"/>
        </w:rPr>
      </w:pPr>
      <w:r>
        <w:rPr>
          <w:rFonts w:eastAsiaTheme="minorHAnsi" w:cstheme="minorBidi"/>
          <w:color w:val="auto"/>
          <w:sz w:val="22"/>
          <w:szCs w:val="22"/>
          <w:lang w:val="es-ES"/>
        </w:rPr>
        <w:t>Dr.-Ing. Jörg Wolters, KONSENS Public Relations GmbH &amp; Co. KG,</w:t>
      </w:r>
      <w:r>
        <w:rPr>
          <w:rFonts w:eastAsiaTheme="minorHAnsi" w:cstheme="minorBidi"/>
          <w:color w:val="auto"/>
          <w:sz w:val="22"/>
          <w:szCs w:val="22"/>
          <w:lang w:val="es-ES"/>
        </w:rPr>
        <w:br/>
        <w:t>Hans-Böckler-Straße 20, D-63811 Stockstadt am Main (Alemania)</w:t>
      </w:r>
      <w:r>
        <w:rPr>
          <w:rFonts w:eastAsiaTheme="minorHAnsi" w:cstheme="minorBidi"/>
          <w:color w:val="auto"/>
          <w:sz w:val="22"/>
          <w:szCs w:val="22"/>
          <w:lang w:val="es-ES"/>
        </w:rPr>
        <w:br/>
        <w:t xml:space="preserve">Tel.: +49 (0) 60 27/99 00 5-13, </w:t>
      </w:r>
      <w:hyperlink r:id="rId11" w:history="1">
        <w:r w:rsidR="00E873EA">
          <w:rPr>
            <w:rFonts w:eastAsiaTheme="minorHAnsi" w:cstheme="minorBidi"/>
            <w:color w:val="auto"/>
            <w:sz w:val="22"/>
            <w:szCs w:val="22"/>
            <w:lang w:val="es-ES"/>
          </w:rPr>
          <w:t>mail@konsens.de</w:t>
        </w:r>
      </w:hyperlink>
    </w:p>
    <w:p w14:paraId="35A9881B" w14:textId="43D6D98B" w:rsidR="00F559DC" w:rsidRPr="00E80B94" w:rsidRDefault="00722385" w:rsidP="00AA47B6">
      <w:pPr>
        <w:shd w:val="clear" w:color="auto" w:fill="D0CECE" w:themeFill="background2" w:themeFillShade="E6"/>
        <w:spacing w:before="0" w:after="160" w:line="240" w:lineRule="auto"/>
        <w:jc w:val="center"/>
        <w:rPr>
          <w:rFonts w:eastAsiaTheme="minorHAnsi" w:cstheme="minorBidi"/>
          <w:color w:val="auto"/>
          <w:sz w:val="20"/>
          <w:szCs w:val="22"/>
          <w:lang w:val="es-ES"/>
        </w:rPr>
      </w:pPr>
      <w:r w:rsidRPr="00AA47B6">
        <w:rPr>
          <w:rFonts w:eastAsiaTheme="minorHAnsi" w:cstheme="minorBidi"/>
          <w:color w:val="auto"/>
          <w:sz w:val="22"/>
          <w:szCs w:val="22"/>
          <w:lang w:val="es-ES"/>
        </w:rPr>
        <w:t xml:space="preserve">Puede descargar el texto y la imagen de este comunicado de prensa en: </w:t>
      </w:r>
      <w:r w:rsidRPr="00AA47B6">
        <w:rPr>
          <w:rFonts w:eastAsiaTheme="minorHAnsi" w:cstheme="minorBidi"/>
          <w:b/>
          <w:bCs/>
          <w:i/>
          <w:iCs/>
          <w:color w:val="auto"/>
          <w:sz w:val="22"/>
          <w:szCs w:val="22"/>
          <w:lang w:val="es-ES"/>
        </w:rPr>
        <w:t>https://www.konsens.de/pressemitteilungen/technocompound-gmbh</w:t>
      </w:r>
    </w:p>
    <w:sectPr w:rsidR="00F559DC" w:rsidRPr="00E80B94">
      <w:headerReference w:type="default" r:id="rId12"/>
      <w:headerReference w:type="first" r:id="rId13"/>
      <w:pgSz w:w="11907" w:h="16840" w:code="9"/>
      <w:pgMar w:top="1276" w:right="1701" w:bottom="709" w:left="1701" w:header="624"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4F85E" w14:textId="77777777" w:rsidR="00C17CB6" w:rsidRDefault="00C17CB6">
      <w:pPr>
        <w:spacing w:before="0" w:line="240" w:lineRule="auto"/>
      </w:pPr>
      <w:r>
        <w:separator/>
      </w:r>
    </w:p>
  </w:endnote>
  <w:endnote w:type="continuationSeparator" w:id="0">
    <w:p w14:paraId="69C7D8BE" w14:textId="77777777" w:rsidR="00C17CB6" w:rsidRDefault="00C17CB6">
      <w:pPr>
        <w:spacing w:before="0" w:line="240" w:lineRule="auto"/>
      </w:pPr>
      <w:r>
        <w:continuationSeparator/>
      </w:r>
    </w:p>
  </w:endnote>
  <w:endnote w:type="continuationNotice" w:id="1">
    <w:p w14:paraId="5E97711B" w14:textId="77777777" w:rsidR="00C17CB6" w:rsidRDefault="00C17CB6">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8DFEE" w14:textId="77777777" w:rsidR="00C17CB6" w:rsidRDefault="00C17CB6">
      <w:pPr>
        <w:spacing w:before="0" w:line="240" w:lineRule="auto"/>
      </w:pPr>
      <w:r>
        <w:separator/>
      </w:r>
    </w:p>
  </w:footnote>
  <w:footnote w:type="continuationSeparator" w:id="0">
    <w:p w14:paraId="00B4ED60" w14:textId="77777777" w:rsidR="00C17CB6" w:rsidRDefault="00C17CB6">
      <w:pPr>
        <w:spacing w:before="0" w:line="240" w:lineRule="auto"/>
      </w:pPr>
      <w:r>
        <w:continuationSeparator/>
      </w:r>
    </w:p>
  </w:footnote>
  <w:footnote w:type="continuationNotice" w:id="1">
    <w:p w14:paraId="6AC9BD8F" w14:textId="77777777" w:rsidR="00C17CB6" w:rsidRDefault="00C17CB6">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064BC" w14:textId="77777777" w:rsidR="00F559DC" w:rsidRPr="00E80B94" w:rsidRDefault="00722385">
    <w:pPr>
      <w:pStyle w:val="Kopfzeile"/>
      <w:pBdr>
        <w:bottom w:val="single" w:sz="4" w:space="0" w:color="auto"/>
      </w:pBdr>
      <w:jc w:val="left"/>
      <w:rPr>
        <w:lang w:val="es-ES"/>
      </w:rPr>
    </w:pPr>
    <w:r>
      <w:rPr>
        <w:lang w:val="es-ES"/>
      </w:rPr>
      <w:t xml:space="preserve">Página </w:t>
    </w:r>
    <w:r>
      <w:rPr>
        <w:lang w:val="es-ES"/>
      </w:rPr>
      <w:fldChar w:fldCharType="begin"/>
    </w:r>
    <w:r>
      <w:rPr>
        <w:lang w:val="es-ES"/>
      </w:rPr>
      <w:instrText xml:space="preserve"> PAGE </w:instrText>
    </w:r>
    <w:r>
      <w:rPr>
        <w:lang w:val="es-ES"/>
      </w:rPr>
      <w:fldChar w:fldCharType="separate"/>
    </w:r>
    <w:r>
      <w:rPr>
        <w:lang w:val="es-ES"/>
      </w:rPr>
      <w:t>3</w:t>
    </w:r>
    <w:r>
      <w:rPr>
        <w:lang w:val="es-ES"/>
      </w:rPr>
      <w:fldChar w:fldCharType="end"/>
    </w:r>
    <w:r>
      <w:rPr>
        <w:lang w:val="es-ES"/>
      </w:rPr>
      <w:t xml:space="preserve"> del comunicado de prensa </w:t>
    </w:r>
    <w:r>
      <w:rPr>
        <w:lang w:val="es-ES"/>
      </w:rPr>
      <w:br/>
      <w:t>TechnoCompound obtiene la certificación de plata de EcoVadis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234"/>
    </w:tblGrid>
    <w:tr w:rsidR="00FA6F19" w14:paraId="5F8D2347" w14:textId="77777777" w:rsidTr="00A3446E">
      <w:tc>
        <w:tcPr>
          <w:tcW w:w="3261" w:type="dxa"/>
        </w:tcPr>
        <w:p w14:paraId="0B5ACFE6" w14:textId="77777777" w:rsidR="00F559DC" w:rsidRDefault="00F559DC">
          <w:pPr>
            <w:pStyle w:val="Kopfzeile"/>
            <w:pBdr>
              <w:bottom w:val="none" w:sz="0" w:space="0" w:color="auto"/>
            </w:pBdr>
            <w:jc w:val="left"/>
            <w:rPr>
              <w:noProof/>
              <w:sz w:val="44"/>
              <w:szCs w:val="44"/>
            </w:rPr>
          </w:pPr>
        </w:p>
      </w:tc>
      <w:tc>
        <w:tcPr>
          <w:tcW w:w="5234" w:type="dxa"/>
        </w:tcPr>
        <w:p w14:paraId="35E64FB8" w14:textId="77777777" w:rsidR="00F559DC" w:rsidRDefault="00722385">
          <w:pPr>
            <w:pStyle w:val="Kopfzeile"/>
            <w:pBdr>
              <w:bottom w:val="none" w:sz="0" w:space="0" w:color="auto"/>
            </w:pBdr>
            <w:tabs>
              <w:tab w:val="clear" w:pos="4536"/>
              <w:tab w:val="center" w:pos="4006"/>
            </w:tabs>
            <w:jc w:val="right"/>
            <w:rPr>
              <w:noProof/>
              <w:sz w:val="16"/>
              <w:szCs w:val="16"/>
            </w:rPr>
          </w:pPr>
          <w:r>
            <w:rPr>
              <w:noProof/>
              <w:sz w:val="16"/>
              <w:szCs w:val="16"/>
              <w:lang w:val="es-ES"/>
            </w:rPr>
            <w:drawing>
              <wp:inline distT="0" distB="0" distL="0" distR="0" wp14:anchorId="2EBB3413" wp14:editId="5EC97B47">
                <wp:extent cx="2243455" cy="372110"/>
                <wp:effectExtent l="0" t="0" r="4445" b="8890"/>
                <wp:docPr id="1688559360" name="Grafik 2" descr="Ein Bild, das Grafiken, Grafikdesign, Schrif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559360" name="Grafik 2" descr="Ein Bild, das Grafiken, Grafikdesign, Schrift,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43455" cy="372110"/>
                        </a:xfrm>
                        <a:prstGeom prst="rect">
                          <a:avLst/>
                        </a:prstGeom>
                        <a:noFill/>
                      </pic:spPr>
                    </pic:pic>
                  </a:graphicData>
                </a:graphic>
              </wp:inline>
            </w:drawing>
          </w:r>
        </w:p>
      </w:tc>
    </w:tr>
    <w:tr w:rsidR="00FA6F19" w14:paraId="643B9BC0" w14:textId="77777777" w:rsidTr="00A3446E">
      <w:tc>
        <w:tcPr>
          <w:tcW w:w="3261" w:type="dxa"/>
          <w:vAlign w:val="bottom"/>
        </w:tcPr>
        <w:p w14:paraId="448F480A" w14:textId="77777777" w:rsidR="00F559DC" w:rsidRDefault="00F559DC">
          <w:pPr>
            <w:pStyle w:val="Kopfzeile"/>
            <w:pBdr>
              <w:bottom w:val="none" w:sz="0" w:space="0" w:color="auto"/>
            </w:pBdr>
            <w:jc w:val="left"/>
            <w:rPr>
              <w:noProof/>
              <w:sz w:val="44"/>
              <w:szCs w:val="44"/>
            </w:rPr>
          </w:pPr>
        </w:p>
      </w:tc>
      <w:tc>
        <w:tcPr>
          <w:tcW w:w="5234" w:type="dxa"/>
          <w:vAlign w:val="bottom"/>
        </w:tcPr>
        <w:p w14:paraId="47CB7B07" w14:textId="77777777" w:rsidR="00F559DC" w:rsidRDefault="00722385">
          <w:pPr>
            <w:pStyle w:val="Kopfzeile"/>
            <w:pBdr>
              <w:bottom w:val="none" w:sz="0" w:space="0" w:color="auto"/>
            </w:pBdr>
            <w:jc w:val="right"/>
            <w:rPr>
              <w:noProof/>
              <w:sz w:val="44"/>
              <w:szCs w:val="44"/>
            </w:rPr>
          </w:pPr>
          <w:r>
            <w:rPr>
              <w:noProof/>
              <w:sz w:val="44"/>
              <w:szCs w:val="44"/>
              <w:lang w:val="es-ES"/>
            </w:rPr>
            <w:t>Comunicado de prensa</w:t>
          </w:r>
        </w:p>
      </w:tc>
    </w:tr>
  </w:tbl>
  <w:p w14:paraId="5DD2F747" w14:textId="77777777" w:rsidR="00F559DC" w:rsidRDefault="00F559DC">
    <w:pPr>
      <w:pStyle w:val="Kopfzeile"/>
      <w:pBdr>
        <w:bottom w:val="none" w:sz="0" w:space="0" w:color="auto"/>
      </w:pBdr>
      <w:jc w:val="left"/>
      <w:rPr>
        <w:noProof/>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pt;height:43.2pt" o:bullet="t">
        <v:imagedata r:id="rId1" o:title="art8998"/>
      </v:shape>
    </w:pict>
  </w:numPicBullet>
  <w:abstractNum w:abstractNumId="0" w15:restartNumberingAfterBreak="0">
    <w:nsid w:val="FFFFFF89"/>
    <w:multiLevelType w:val="singleLevel"/>
    <w:tmpl w:val="0E24D54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F969EC"/>
    <w:multiLevelType w:val="hybridMultilevel"/>
    <w:tmpl w:val="7F08C9DC"/>
    <w:lvl w:ilvl="0" w:tplc="10F4ABDC">
      <w:start w:val="1"/>
      <w:numFmt w:val="bullet"/>
      <w:lvlText w:val=""/>
      <w:lvlJc w:val="left"/>
      <w:pPr>
        <w:ind w:left="720" w:hanging="360"/>
      </w:pPr>
      <w:rPr>
        <w:rFonts w:ascii="Symbol" w:hAnsi="Symbol" w:hint="default"/>
      </w:rPr>
    </w:lvl>
    <w:lvl w:ilvl="1" w:tplc="C2A4AB5E">
      <w:start w:val="1"/>
      <w:numFmt w:val="bullet"/>
      <w:lvlText w:val="o"/>
      <w:lvlJc w:val="left"/>
      <w:pPr>
        <w:ind w:left="1440" w:hanging="360"/>
      </w:pPr>
      <w:rPr>
        <w:rFonts w:ascii="Courier New" w:hAnsi="Courier New" w:cs="Courier New" w:hint="default"/>
      </w:rPr>
    </w:lvl>
    <w:lvl w:ilvl="2" w:tplc="A84C07B8">
      <w:start w:val="1"/>
      <w:numFmt w:val="bullet"/>
      <w:lvlText w:val=""/>
      <w:lvlJc w:val="left"/>
      <w:pPr>
        <w:ind w:left="2160" w:hanging="360"/>
      </w:pPr>
      <w:rPr>
        <w:rFonts w:ascii="Wingdings" w:hAnsi="Wingdings" w:hint="default"/>
      </w:rPr>
    </w:lvl>
    <w:lvl w:ilvl="3" w:tplc="7B829258">
      <w:start w:val="1"/>
      <w:numFmt w:val="bullet"/>
      <w:lvlText w:val=""/>
      <w:lvlJc w:val="left"/>
      <w:pPr>
        <w:ind w:left="2880" w:hanging="360"/>
      </w:pPr>
      <w:rPr>
        <w:rFonts w:ascii="Symbol" w:hAnsi="Symbol" w:hint="default"/>
      </w:rPr>
    </w:lvl>
    <w:lvl w:ilvl="4" w:tplc="B6D4751A">
      <w:start w:val="1"/>
      <w:numFmt w:val="bullet"/>
      <w:lvlText w:val="o"/>
      <w:lvlJc w:val="left"/>
      <w:pPr>
        <w:ind w:left="3600" w:hanging="360"/>
      </w:pPr>
      <w:rPr>
        <w:rFonts w:ascii="Courier New" w:hAnsi="Courier New" w:cs="Courier New" w:hint="default"/>
      </w:rPr>
    </w:lvl>
    <w:lvl w:ilvl="5" w:tplc="DC24D8C0">
      <w:start w:val="1"/>
      <w:numFmt w:val="bullet"/>
      <w:lvlText w:val=""/>
      <w:lvlJc w:val="left"/>
      <w:pPr>
        <w:ind w:left="4320" w:hanging="360"/>
      </w:pPr>
      <w:rPr>
        <w:rFonts w:ascii="Wingdings" w:hAnsi="Wingdings" w:hint="default"/>
      </w:rPr>
    </w:lvl>
    <w:lvl w:ilvl="6" w:tplc="EAD46258">
      <w:start w:val="1"/>
      <w:numFmt w:val="bullet"/>
      <w:lvlText w:val=""/>
      <w:lvlJc w:val="left"/>
      <w:pPr>
        <w:ind w:left="5040" w:hanging="360"/>
      </w:pPr>
      <w:rPr>
        <w:rFonts w:ascii="Symbol" w:hAnsi="Symbol" w:hint="default"/>
      </w:rPr>
    </w:lvl>
    <w:lvl w:ilvl="7" w:tplc="588C47C2">
      <w:start w:val="1"/>
      <w:numFmt w:val="bullet"/>
      <w:lvlText w:val="o"/>
      <w:lvlJc w:val="left"/>
      <w:pPr>
        <w:ind w:left="5760" w:hanging="360"/>
      </w:pPr>
      <w:rPr>
        <w:rFonts w:ascii="Courier New" w:hAnsi="Courier New" w:cs="Courier New" w:hint="default"/>
      </w:rPr>
    </w:lvl>
    <w:lvl w:ilvl="8" w:tplc="621063D8">
      <w:start w:val="1"/>
      <w:numFmt w:val="bullet"/>
      <w:lvlText w:val=""/>
      <w:lvlJc w:val="left"/>
      <w:pPr>
        <w:ind w:left="6480" w:hanging="360"/>
      </w:pPr>
      <w:rPr>
        <w:rFonts w:ascii="Wingdings" w:hAnsi="Wingdings" w:hint="default"/>
      </w:rPr>
    </w:lvl>
  </w:abstractNum>
  <w:abstractNum w:abstractNumId="2" w15:restartNumberingAfterBreak="0">
    <w:nsid w:val="1004230B"/>
    <w:multiLevelType w:val="hybridMultilevel"/>
    <w:tmpl w:val="25F8E9B4"/>
    <w:lvl w:ilvl="0" w:tplc="84B8E740">
      <w:start w:val="1"/>
      <w:numFmt w:val="bullet"/>
      <w:lvlText w:val=""/>
      <w:lvlJc w:val="left"/>
      <w:pPr>
        <w:ind w:left="360" w:hanging="360"/>
      </w:pPr>
      <w:rPr>
        <w:rFonts w:ascii="Symbol" w:hAnsi="Symbol" w:hint="default"/>
      </w:rPr>
    </w:lvl>
    <w:lvl w:ilvl="1" w:tplc="016005BE">
      <w:start w:val="1"/>
      <w:numFmt w:val="bullet"/>
      <w:lvlText w:val="o"/>
      <w:lvlJc w:val="left"/>
      <w:pPr>
        <w:ind w:left="1080" w:hanging="360"/>
      </w:pPr>
      <w:rPr>
        <w:rFonts w:ascii="Courier New" w:hAnsi="Courier New" w:cs="Courier New" w:hint="default"/>
      </w:rPr>
    </w:lvl>
    <w:lvl w:ilvl="2" w:tplc="A6E87CB0" w:tentative="1">
      <w:start w:val="1"/>
      <w:numFmt w:val="bullet"/>
      <w:lvlText w:val=""/>
      <w:lvlJc w:val="left"/>
      <w:pPr>
        <w:ind w:left="1800" w:hanging="360"/>
      </w:pPr>
      <w:rPr>
        <w:rFonts w:ascii="Wingdings" w:hAnsi="Wingdings" w:hint="default"/>
      </w:rPr>
    </w:lvl>
    <w:lvl w:ilvl="3" w:tplc="031CC180" w:tentative="1">
      <w:start w:val="1"/>
      <w:numFmt w:val="bullet"/>
      <w:lvlText w:val=""/>
      <w:lvlJc w:val="left"/>
      <w:pPr>
        <w:ind w:left="2520" w:hanging="360"/>
      </w:pPr>
      <w:rPr>
        <w:rFonts w:ascii="Symbol" w:hAnsi="Symbol" w:hint="default"/>
      </w:rPr>
    </w:lvl>
    <w:lvl w:ilvl="4" w:tplc="C532C80E" w:tentative="1">
      <w:start w:val="1"/>
      <w:numFmt w:val="bullet"/>
      <w:lvlText w:val="o"/>
      <w:lvlJc w:val="left"/>
      <w:pPr>
        <w:ind w:left="3240" w:hanging="360"/>
      </w:pPr>
      <w:rPr>
        <w:rFonts w:ascii="Courier New" w:hAnsi="Courier New" w:cs="Courier New" w:hint="default"/>
      </w:rPr>
    </w:lvl>
    <w:lvl w:ilvl="5" w:tplc="62E4387C" w:tentative="1">
      <w:start w:val="1"/>
      <w:numFmt w:val="bullet"/>
      <w:lvlText w:val=""/>
      <w:lvlJc w:val="left"/>
      <w:pPr>
        <w:ind w:left="3960" w:hanging="360"/>
      </w:pPr>
      <w:rPr>
        <w:rFonts w:ascii="Wingdings" w:hAnsi="Wingdings" w:hint="default"/>
      </w:rPr>
    </w:lvl>
    <w:lvl w:ilvl="6" w:tplc="5F1E566E" w:tentative="1">
      <w:start w:val="1"/>
      <w:numFmt w:val="bullet"/>
      <w:lvlText w:val=""/>
      <w:lvlJc w:val="left"/>
      <w:pPr>
        <w:ind w:left="4680" w:hanging="360"/>
      </w:pPr>
      <w:rPr>
        <w:rFonts w:ascii="Symbol" w:hAnsi="Symbol" w:hint="default"/>
      </w:rPr>
    </w:lvl>
    <w:lvl w:ilvl="7" w:tplc="41A01BF4" w:tentative="1">
      <w:start w:val="1"/>
      <w:numFmt w:val="bullet"/>
      <w:lvlText w:val="o"/>
      <w:lvlJc w:val="left"/>
      <w:pPr>
        <w:ind w:left="5400" w:hanging="360"/>
      </w:pPr>
      <w:rPr>
        <w:rFonts w:ascii="Courier New" w:hAnsi="Courier New" w:cs="Courier New" w:hint="default"/>
      </w:rPr>
    </w:lvl>
    <w:lvl w:ilvl="8" w:tplc="E842E0CA" w:tentative="1">
      <w:start w:val="1"/>
      <w:numFmt w:val="bullet"/>
      <w:lvlText w:val=""/>
      <w:lvlJc w:val="left"/>
      <w:pPr>
        <w:ind w:left="6120" w:hanging="360"/>
      </w:pPr>
      <w:rPr>
        <w:rFonts w:ascii="Wingdings" w:hAnsi="Wingdings" w:hint="default"/>
      </w:rPr>
    </w:lvl>
  </w:abstractNum>
  <w:abstractNum w:abstractNumId="3" w15:restartNumberingAfterBreak="0">
    <w:nsid w:val="13B12ADC"/>
    <w:multiLevelType w:val="hybridMultilevel"/>
    <w:tmpl w:val="CEFE9368"/>
    <w:lvl w:ilvl="0" w:tplc="084ED694">
      <w:start w:val="1"/>
      <w:numFmt w:val="bullet"/>
      <w:lvlText w:val=""/>
      <w:lvlPicBulletId w:val="0"/>
      <w:lvlJc w:val="left"/>
      <w:pPr>
        <w:tabs>
          <w:tab w:val="num" w:pos="720"/>
        </w:tabs>
        <w:ind w:left="720" w:hanging="360"/>
      </w:pPr>
      <w:rPr>
        <w:rFonts w:ascii="Symbol" w:hAnsi="Symbol" w:hint="default"/>
      </w:rPr>
    </w:lvl>
    <w:lvl w:ilvl="1" w:tplc="A0E62EF0">
      <w:start w:val="1"/>
      <w:numFmt w:val="bullet"/>
      <w:lvlText w:val=""/>
      <w:lvlPicBulletId w:val="0"/>
      <w:lvlJc w:val="left"/>
      <w:pPr>
        <w:tabs>
          <w:tab w:val="num" w:pos="1440"/>
        </w:tabs>
        <w:ind w:left="1440" w:hanging="360"/>
      </w:pPr>
      <w:rPr>
        <w:rFonts w:ascii="Symbol" w:hAnsi="Symbol" w:hint="default"/>
      </w:rPr>
    </w:lvl>
    <w:lvl w:ilvl="2" w:tplc="FF60A666" w:tentative="1">
      <w:start w:val="1"/>
      <w:numFmt w:val="bullet"/>
      <w:lvlText w:val=""/>
      <w:lvlPicBulletId w:val="0"/>
      <w:lvlJc w:val="left"/>
      <w:pPr>
        <w:tabs>
          <w:tab w:val="num" w:pos="2160"/>
        </w:tabs>
        <w:ind w:left="2160" w:hanging="360"/>
      </w:pPr>
      <w:rPr>
        <w:rFonts w:ascii="Symbol" w:hAnsi="Symbol" w:hint="default"/>
      </w:rPr>
    </w:lvl>
    <w:lvl w:ilvl="3" w:tplc="37D68C1C" w:tentative="1">
      <w:start w:val="1"/>
      <w:numFmt w:val="bullet"/>
      <w:lvlText w:val=""/>
      <w:lvlPicBulletId w:val="0"/>
      <w:lvlJc w:val="left"/>
      <w:pPr>
        <w:tabs>
          <w:tab w:val="num" w:pos="2880"/>
        </w:tabs>
        <w:ind w:left="2880" w:hanging="360"/>
      </w:pPr>
      <w:rPr>
        <w:rFonts w:ascii="Symbol" w:hAnsi="Symbol" w:hint="default"/>
      </w:rPr>
    </w:lvl>
    <w:lvl w:ilvl="4" w:tplc="A40E525A" w:tentative="1">
      <w:start w:val="1"/>
      <w:numFmt w:val="bullet"/>
      <w:lvlText w:val=""/>
      <w:lvlPicBulletId w:val="0"/>
      <w:lvlJc w:val="left"/>
      <w:pPr>
        <w:tabs>
          <w:tab w:val="num" w:pos="3600"/>
        </w:tabs>
        <w:ind w:left="3600" w:hanging="360"/>
      </w:pPr>
      <w:rPr>
        <w:rFonts w:ascii="Symbol" w:hAnsi="Symbol" w:hint="default"/>
      </w:rPr>
    </w:lvl>
    <w:lvl w:ilvl="5" w:tplc="C292DC62" w:tentative="1">
      <w:start w:val="1"/>
      <w:numFmt w:val="bullet"/>
      <w:lvlText w:val=""/>
      <w:lvlPicBulletId w:val="0"/>
      <w:lvlJc w:val="left"/>
      <w:pPr>
        <w:tabs>
          <w:tab w:val="num" w:pos="4320"/>
        </w:tabs>
        <w:ind w:left="4320" w:hanging="360"/>
      </w:pPr>
      <w:rPr>
        <w:rFonts w:ascii="Symbol" w:hAnsi="Symbol" w:hint="default"/>
      </w:rPr>
    </w:lvl>
    <w:lvl w:ilvl="6" w:tplc="35E4FBEC" w:tentative="1">
      <w:start w:val="1"/>
      <w:numFmt w:val="bullet"/>
      <w:lvlText w:val=""/>
      <w:lvlPicBulletId w:val="0"/>
      <w:lvlJc w:val="left"/>
      <w:pPr>
        <w:tabs>
          <w:tab w:val="num" w:pos="5040"/>
        </w:tabs>
        <w:ind w:left="5040" w:hanging="360"/>
      </w:pPr>
      <w:rPr>
        <w:rFonts w:ascii="Symbol" w:hAnsi="Symbol" w:hint="default"/>
      </w:rPr>
    </w:lvl>
    <w:lvl w:ilvl="7" w:tplc="30220494" w:tentative="1">
      <w:start w:val="1"/>
      <w:numFmt w:val="bullet"/>
      <w:lvlText w:val=""/>
      <w:lvlPicBulletId w:val="0"/>
      <w:lvlJc w:val="left"/>
      <w:pPr>
        <w:tabs>
          <w:tab w:val="num" w:pos="5760"/>
        </w:tabs>
        <w:ind w:left="5760" w:hanging="360"/>
      </w:pPr>
      <w:rPr>
        <w:rFonts w:ascii="Symbol" w:hAnsi="Symbol" w:hint="default"/>
      </w:rPr>
    </w:lvl>
    <w:lvl w:ilvl="8" w:tplc="FD2E62E6" w:tentative="1">
      <w:start w:val="1"/>
      <w:numFmt w:val="bullet"/>
      <w:lvlText w:val=""/>
      <w:lvlPicBulletId w:val="0"/>
      <w:lvlJc w:val="left"/>
      <w:pPr>
        <w:tabs>
          <w:tab w:val="num" w:pos="6480"/>
        </w:tabs>
        <w:ind w:left="6480" w:hanging="360"/>
      </w:pPr>
      <w:rPr>
        <w:rFonts w:ascii="Symbol" w:hAnsi="Symbol" w:hint="default"/>
      </w:rPr>
    </w:lvl>
  </w:abstractNum>
  <w:num w:numId="1" w16cid:durableId="1722485266">
    <w:abstractNumId w:val="1"/>
  </w:num>
  <w:num w:numId="2" w16cid:durableId="1974091438">
    <w:abstractNumId w:val="2"/>
  </w:num>
  <w:num w:numId="3" w16cid:durableId="1774474775">
    <w:abstractNumId w:val="3"/>
  </w:num>
  <w:num w:numId="4" w16cid:durableId="1990481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onsecutiveHyphenLimit w:val="3"/>
  <w:hyphenationZone w:val="454"/>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9DC"/>
    <w:rsid w:val="000541E0"/>
    <w:rsid w:val="002A2A9E"/>
    <w:rsid w:val="003309FA"/>
    <w:rsid w:val="005A7E41"/>
    <w:rsid w:val="00722385"/>
    <w:rsid w:val="00745AC9"/>
    <w:rsid w:val="00754667"/>
    <w:rsid w:val="007C356A"/>
    <w:rsid w:val="00847E32"/>
    <w:rsid w:val="008F082E"/>
    <w:rsid w:val="00A21DF8"/>
    <w:rsid w:val="00A3446E"/>
    <w:rsid w:val="00AA47B6"/>
    <w:rsid w:val="00BA1D0C"/>
    <w:rsid w:val="00C04F74"/>
    <w:rsid w:val="00C17CB6"/>
    <w:rsid w:val="00C412F1"/>
    <w:rsid w:val="00C66F9D"/>
    <w:rsid w:val="00CB06C4"/>
    <w:rsid w:val="00CD6918"/>
    <w:rsid w:val="00D5149F"/>
    <w:rsid w:val="00D85B17"/>
    <w:rsid w:val="00E80B94"/>
    <w:rsid w:val="00E873EA"/>
    <w:rsid w:val="00EC6B64"/>
    <w:rsid w:val="00F559DC"/>
    <w:rsid w:val="00F67DAD"/>
    <w:rsid w:val="00F72CB0"/>
    <w:rsid w:val="00FA6F19"/>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99516"/>
  <w15:chartTrackingRefBased/>
  <w15:docId w15:val="{7066E704-C290-4F12-92E2-555D887B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360" w:line="360" w:lineRule="auto"/>
    </w:pPr>
    <w:rPr>
      <w:rFonts w:ascii="Arial" w:hAnsi="Arial"/>
      <w:color w:val="000000"/>
      <w:sz w:val="24"/>
      <w:szCs w:val="24"/>
      <w:lang w:eastAsia="en-US"/>
    </w:rPr>
  </w:style>
  <w:style w:type="paragraph" w:styleId="berschrift1">
    <w:name w:val="heading 1"/>
    <w:basedOn w:val="Standard"/>
    <w:next w:val="Standard"/>
    <w:qFormat/>
    <w:pPr>
      <w:widowControl w:val="0"/>
      <w:spacing w:before="120" w:after="240" w:line="240" w:lineRule="auto"/>
      <w:outlineLvl w:val="0"/>
    </w:pPr>
    <w:rPr>
      <w:rFonts w:cs="Arial"/>
      <w:b/>
      <w:bCs/>
      <w:kern w:val="32"/>
      <w:sz w:val="36"/>
      <w:szCs w:val="32"/>
    </w:rPr>
  </w:style>
  <w:style w:type="paragraph" w:styleId="berschrift2">
    <w:name w:val="heading 2"/>
    <w:basedOn w:val="Standard"/>
    <w:next w:val="Standard"/>
    <w:qFormat/>
    <w:pPr>
      <w:keepNext/>
      <w:spacing w:before="240" w:line="240" w:lineRule="auto"/>
      <w:outlineLvl w:val="1"/>
    </w:pPr>
    <w:rPr>
      <w:rFonts w:cs="Arial"/>
      <w:b/>
      <w:bCs/>
      <w:i/>
      <w:iCs/>
    </w:rPr>
  </w:style>
  <w:style w:type="paragraph" w:styleId="berschrift3">
    <w:name w:val="heading 3"/>
    <w:basedOn w:val="Standard"/>
    <w:next w:val="Standard"/>
    <w:link w:val="berschrift3Zchn"/>
    <w:uiPriority w:val="9"/>
    <w:semiHidden/>
    <w:unhideWhenUsed/>
    <w:qFormat/>
    <w:pPr>
      <w:keepNext/>
      <w:spacing w:before="240" w:after="60"/>
      <w:outlineLvl w:val="2"/>
    </w:pPr>
    <w:rPr>
      <w:rFonts w:ascii="Calibri Light" w:hAnsi="Calibri Light"/>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essemitteilung">
    <w:name w:val="Pressemitteilung"/>
    <w:basedOn w:val="Standard"/>
    <w:next w:val="Standard"/>
    <w:rPr>
      <w:b/>
      <w:sz w:val="48"/>
    </w:rPr>
  </w:style>
  <w:style w:type="character" w:styleId="Hyperlink">
    <w:name w:val="Hyperlink"/>
    <w:rPr>
      <w:color w:val="0000FF"/>
      <w:u w:val="single"/>
    </w:rPr>
  </w:style>
  <w:style w:type="paragraph" w:customStyle="1" w:styleId="Bildunterschrift">
    <w:name w:val="Bildunterschrift"/>
    <w:basedOn w:val="Standard"/>
    <w:pPr>
      <w:spacing w:before="120" w:line="240" w:lineRule="auto"/>
    </w:pPr>
    <w:rPr>
      <w:i/>
    </w:rPr>
  </w:style>
  <w:style w:type="paragraph" w:styleId="Kopfzeile">
    <w:name w:val="header"/>
    <w:basedOn w:val="Standard"/>
    <w:link w:val="KopfzeileZchn"/>
    <w:pPr>
      <w:pBdr>
        <w:bottom w:val="single" w:sz="4" w:space="1" w:color="auto"/>
      </w:pBdr>
      <w:tabs>
        <w:tab w:val="center" w:pos="4536"/>
        <w:tab w:val="right" w:pos="9072"/>
      </w:tabs>
      <w:spacing w:before="0" w:line="240" w:lineRule="auto"/>
      <w:jc w:val="center"/>
    </w:pPr>
    <w:rPr>
      <w:sz w:val="18"/>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Default">
    <w:name w:val="Default"/>
    <w:pPr>
      <w:autoSpaceDE w:val="0"/>
      <w:autoSpaceDN w:val="0"/>
      <w:adjustRightInd w:val="0"/>
    </w:pPr>
    <w:rPr>
      <w:rFonts w:ascii="Arial" w:hAnsi="Arial" w:cs="Arial"/>
      <w:color w:val="000000"/>
      <w:sz w:val="24"/>
      <w:szCs w:val="24"/>
    </w:rPr>
  </w:style>
  <w:style w:type="table" w:customStyle="1" w:styleId="Tabellengitternetz">
    <w:name w:val="Tabellengitternetz"/>
    <w:basedOn w:val="NormaleTabelle"/>
    <w:pPr>
      <w:spacing w:before="36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link w:val="berschrift3"/>
    <w:uiPriority w:val="9"/>
    <w:semiHidden/>
    <w:rPr>
      <w:rFonts w:ascii="Calibri Light" w:eastAsia="Times New Roman" w:hAnsi="Calibri Light" w:cs="Times New Roman"/>
      <w:b/>
      <w:bCs/>
      <w:color w:val="000000"/>
      <w:sz w:val="26"/>
      <w:szCs w:val="26"/>
      <w:lang w:eastAsia="en-US"/>
    </w:rPr>
  </w:style>
  <w:style w:type="character" w:customStyle="1" w:styleId="KopfzeileZchn">
    <w:name w:val="Kopfzeile Zchn"/>
    <w:link w:val="Kopfzeile"/>
    <w:rPr>
      <w:rFonts w:ascii="Arial" w:hAnsi="Arial"/>
      <w:color w:val="000000"/>
      <w:sz w:val="18"/>
      <w:szCs w:val="24"/>
      <w:lang w:eastAsia="en-US"/>
    </w:rPr>
  </w:style>
  <w:style w:type="paragraph" w:styleId="Sprechblasentext">
    <w:name w:val="Balloon Text"/>
    <w:basedOn w:val="Standard"/>
    <w:link w:val="SprechblasentextZchn"/>
    <w:uiPriority w:val="99"/>
    <w:semiHidden/>
    <w:unhideWhenUsed/>
    <w:pPr>
      <w:spacing w:before="0" w:line="240" w:lineRule="auto"/>
    </w:pPr>
    <w:rPr>
      <w:rFonts w:ascii="Segoe UI" w:hAnsi="Segoe UI" w:cs="Segoe UI"/>
      <w:sz w:val="18"/>
      <w:szCs w:val="18"/>
    </w:rPr>
  </w:style>
  <w:style w:type="character" w:customStyle="1" w:styleId="SprechblasentextZchn">
    <w:name w:val="Sprechblasentext Zchn"/>
    <w:link w:val="Sprechblasentext"/>
    <w:uiPriority w:val="99"/>
    <w:semiHidden/>
    <w:rPr>
      <w:rFonts w:ascii="Segoe UI" w:hAnsi="Segoe UI" w:cs="Segoe UI"/>
      <w:color w:val="000000"/>
      <w:sz w:val="18"/>
      <w:szCs w:val="18"/>
      <w:lang w:eastAsia="en-US"/>
    </w:rPr>
  </w:style>
  <w:style w:type="character" w:styleId="Hervorhebung">
    <w:name w:val="Emphasis"/>
    <w:uiPriority w:val="20"/>
    <w:qFormat/>
    <w:rPr>
      <w:i/>
      <w:iCs/>
    </w:rPr>
  </w:style>
  <w:style w:type="paragraph" w:styleId="StandardWeb">
    <w:name w:val="Normal (Web)"/>
    <w:basedOn w:val="Standard"/>
    <w:uiPriority w:val="99"/>
    <w:unhideWhenUsed/>
    <w:pPr>
      <w:spacing w:before="0" w:after="100" w:afterAutospacing="1" w:line="240" w:lineRule="auto"/>
    </w:pPr>
    <w:rPr>
      <w:rFonts w:ascii="Times New Roman" w:hAnsi="Times New Roman"/>
      <w:color w:val="auto"/>
      <w:lang w:eastAsia="de-DE"/>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color w:val="000000"/>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color w:val="000000"/>
      <w:lang w:eastAsia="en-US"/>
    </w:rPr>
  </w:style>
  <w:style w:type="paragraph" w:styleId="berarbeitung">
    <w:name w:val="Revision"/>
    <w:hidden/>
    <w:uiPriority w:val="99"/>
    <w:semiHidden/>
    <w:rPr>
      <w:rFonts w:ascii="Arial" w:hAnsi="Arial"/>
      <w:color w:val="000000"/>
      <w:sz w:val="24"/>
      <w:szCs w:val="24"/>
      <w:lang w:eastAsia="en-US"/>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uiPriority w:val="99"/>
    <w:unhideWhenUsed/>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konsens.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D87F0-31AB-48D4-9F78-A4536351A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658</Words>
  <Characters>4152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Pressemitteilung</vt:lpstr>
    </vt:vector>
  </TitlesOfParts>
  <Company>KONSENS</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creator>BW</dc:creator>
  <cp:lastModifiedBy>Sandra Amann</cp:lastModifiedBy>
  <cp:revision>4</cp:revision>
  <cp:lastPrinted>2009-03-23T15:46:00Z</cp:lastPrinted>
  <dcterms:created xsi:type="dcterms:W3CDTF">2026-07-31T13:04:00Z</dcterms:created>
  <dcterms:modified xsi:type="dcterms:W3CDTF">2026-08-04T07:57:00Z</dcterms:modified>
</cp:coreProperties>
</file>