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54ABF" w14:textId="77777777" w:rsidR="00E873EA" w:rsidRPr="00735D93" w:rsidRDefault="00735D93" w:rsidP="00E873EA">
      <w:pPr>
        <w:spacing w:before="100" w:beforeAutospacing="1" w:after="100" w:afterAutospacing="1" w:line="240" w:lineRule="auto"/>
        <w:rPr>
          <w:rFonts w:cs="Arial"/>
          <w:color w:val="auto"/>
          <w:lang w:val="fr-FR"/>
        </w:rPr>
      </w:pPr>
      <w:r w:rsidRPr="00735D93">
        <w:rPr>
          <w:rFonts w:asciiTheme="minorBidi" w:hAnsiTheme="minorBidi"/>
          <w:b/>
          <w:bCs/>
          <w:sz w:val="32"/>
          <w:szCs w:val="32"/>
          <w:lang w:val="fr-FR"/>
        </w:rPr>
        <w:t>Une place de haut rang en matière de développement durable :</w:t>
      </w:r>
      <w:r w:rsidRPr="00735D93">
        <w:rPr>
          <w:rFonts w:asciiTheme="minorBidi" w:hAnsiTheme="minorBidi"/>
          <w:sz w:val="32"/>
          <w:szCs w:val="32"/>
          <w:lang w:val="fr-FR"/>
        </w:rPr>
        <w:br/>
      </w:r>
      <w:r w:rsidRPr="00735D93">
        <w:rPr>
          <w:rFonts w:asciiTheme="minorBidi" w:hAnsiTheme="minorBidi"/>
          <w:b/>
          <w:bCs/>
          <w:sz w:val="40"/>
          <w:szCs w:val="40"/>
          <w:lang w:val="fr-FR"/>
        </w:rPr>
        <w:t>TechnoCompound décroche la médaille d’argent d’EcoVadis</w:t>
      </w:r>
    </w:p>
    <w:p w14:paraId="34D1553C" w14:textId="77777777" w:rsidR="00E873EA" w:rsidRPr="00735D93" w:rsidRDefault="00735D93" w:rsidP="00E873EA">
      <w:pPr>
        <w:spacing w:before="100" w:beforeAutospacing="1" w:after="100" w:afterAutospacing="1" w:line="240" w:lineRule="auto"/>
        <w:rPr>
          <w:rFonts w:eastAsiaTheme="majorEastAsia" w:cs="Arial"/>
          <w:i/>
          <w:iCs/>
          <w:color w:val="auto"/>
          <w:lang w:val="fr-FR"/>
        </w:rPr>
      </w:pPr>
      <w:r w:rsidRPr="00735D93">
        <w:rPr>
          <w:rFonts w:eastAsiaTheme="majorEastAsia" w:cs="Arial"/>
          <w:i/>
          <w:iCs/>
          <w:color w:val="auto"/>
          <w:lang w:val="fr-FR"/>
        </w:rPr>
        <w:t>Une distinction attribuée en récompense d’une vision globale du développement durable. TechnoCompound figure parmi le Top 3 % des entreprises les mieux classées de son secteur.</w:t>
      </w:r>
    </w:p>
    <w:p w14:paraId="5DBF9C16" w14:textId="77777777" w:rsidR="00E873EA" w:rsidRPr="00735D93" w:rsidRDefault="00735D93" w:rsidP="00E873EA">
      <w:pPr>
        <w:spacing w:before="0" w:after="160" w:line="259" w:lineRule="auto"/>
        <w:rPr>
          <w:rFonts w:eastAsiaTheme="minorHAnsi" w:cstheme="minorBidi"/>
          <w:color w:val="0000FF"/>
          <w:sz w:val="20"/>
          <w:szCs w:val="22"/>
        </w:rPr>
      </w:pPr>
      <w:r w:rsidRPr="00735D93">
        <w:rPr>
          <w:rFonts w:eastAsiaTheme="minorHAnsi" w:cstheme="minorBidi"/>
          <w:noProof/>
          <w:color w:val="0000FF"/>
          <w:sz w:val="20"/>
          <w:szCs w:val="22"/>
          <w:lang w:val="fr-FR"/>
        </w:rPr>
        <w:drawing>
          <wp:inline distT="0" distB="0" distL="0" distR="0" wp14:anchorId="2C0DA52F" wp14:editId="2286C428">
            <wp:extent cx="5400000" cy="2757600"/>
            <wp:effectExtent l="0" t="0" r="0" b="5080"/>
            <wp:docPr id="2042967595" name="Grafik 204296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67595" name="Grafik 3"/>
                    <pic:cNvPicPr/>
                  </pic:nvPicPr>
                  <pic:blipFill>
                    <a:blip r:embed="rId8">
                      <a:extLst>
                        <a:ext uri="{28A0092B-C50C-407E-A947-70E740481C1C}">
                          <a14:useLocalDpi xmlns:a14="http://schemas.microsoft.com/office/drawing/2010/main" val="0"/>
                        </a:ext>
                      </a:extLst>
                    </a:blip>
                    <a:stretch>
                      <a:fillRect/>
                    </a:stretch>
                  </pic:blipFill>
                  <pic:spPr>
                    <a:xfrm>
                      <a:off x="0" y="0"/>
                      <a:ext cx="5400000" cy="2757600"/>
                    </a:xfrm>
                    <a:prstGeom prst="rect">
                      <a:avLst/>
                    </a:prstGeom>
                  </pic:spPr>
                </pic:pic>
              </a:graphicData>
            </a:graphic>
          </wp:inline>
        </w:drawing>
      </w:r>
    </w:p>
    <w:p w14:paraId="1AD3E82A" w14:textId="77777777" w:rsidR="00E873EA" w:rsidRPr="00735D93" w:rsidRDefault="00735D93" w:rsidP="00E873EA">
      <w:pPr>
        <w:spacing w:before="0" w:after="160" w:line="259" w:lineRule="auto"/>
        <w:rPr>
          <w:rFonts w:eastAsiaTheme="minorHAnsi" w:cstheme="minorBidi"/>
          <w:i/>
          <w:color w:val="auto"/>
          <w:sz w:val="20"/>
          <w:szCs w:val="22"/>
          <w:lang w:val="fr-FR"/>
        </w:rPr>
      </w:pPr>
      <w:r w:rsidRPr="00735D93">
        <w:rPr>
          <w:rFonts w:eastAsiaTheme="minorHAnsi" w:cstheme="minorBidi"/>
          <w:i/>
          <w:iCs/>
          <w:color w:val="auto"/>
          <w:sz w:val="20"/>
          <w:szCs w:val="22"/>
          <w:lang w:val="fr-FR"/>
        </w:rPr>
        <w:t>TechnoCompound, usine de production à Bad Sobernheim en Allemagne</w:t>
      </w:r>
    </w:p>
    <w:p w14:paraId="4E7E4383" w14:textId="6BAF8AFD" w:rsidR="00E873EA" w:rsidRPr="00735D93" w:rsidRDefault="00735D93" w:rsidP="00E873EA">
      <w:pPr>
        <w:spacing w:before="100" w:beforeAutospacing="1" w:after="100" w:afterAutospacing="1" w:line="240" w:lineRule="auto"/>
        <w:rPr>
          <w:rFonts w:cs="Arial"/>
          <w:color w:val="auto"/>
          <w:lang w:val="fr-FR"/>
        </w:rPr>
      </w:pPr>
      <w:r w:rsidRPr="00735D93">
        <w:rPr>
          <w:rFonts w:cs="Arial"/>
          <w:color w:val="auto"/>
          <w:lang w:val="fr-FR"/>
        </w:rPr>
        <w:t xml:space="preserve">Bad Sobernheim/Allemagne, </w:t>
      </w:r>
      <w:r w:rsidR="008E420C">
        <w:rPr>
          <w:rFonts w:cs="Arial"/>
          <w:color w:val="auto"/>
          <w:lang w:val="fr-FR"/>
        </w:rPr>
        <w:t>août</w:t>
      </w:r>
      <w:r w:rsidRPr="00735D93">
        <w:rPr>
          <w:rFonts w:cs="Arial"/>
          <w:color w:val="auto"/>
          <w:lang w:val="fr-FR"/>
        </w:rPr>
        <w:t> 2026. Dès sa première certification, TechnoCompound s’est vu décerner la médaille d’argent par EcoVadis, manquant de peu l’or. Au classement général d’EcoVadis listant quelque 8 000 sociétés du secteur, TechnoCompound se hisse dans le Top 3 % des entreprises les mieux notées et dans le Top 6 % sur un total de 130 000 entreprises évaluées, tous secteurs confondus. En 2025, TechnoCompound décrochait déjà la certification OCS (</w:t>
      </w:r>
      <w:proofErr w:type="spellStart"/>
      <w:r w:rsidRPr="00735D93">
        <w:rPr>
          <w:rFonts w:cs="Arial"/>
          <w:color w:val="auto"/>
          <w:lang w:val="fr-FR"/>
        </w:rPr>
        <w:t>Operation</w:t>
      </w:r>
      <w:proofErr w:type="spellEnd"/>
      <w:r w:rsidRPr="00735D93">
        <w:rPr>
          <w:rFonts w:cs="Arial"/>
          <w:color w:val="auto"/>
          <w:lang w:val="fr-FR"/>
        </w:rPr>
        <w:t xml:space="preserve"> Clean Sweep), un programme international volontaire mis en place par l’industrie des matières synthétiques visant à prévenir la perte de granulés de plastique tout au long de la chaîne de valeur, afin d’éviter que ces matériaux ne se retrouvent dans l’environnement ou dans les cours d’eau.</w:t>
      </w:r>
    </w:p>
    <w:p w14:paraId="5CF0D187" w14:textId="77777777" w:rsidR="00E873EA" w:rsidRPr="00735D93" w:rsidRDefault="00735D93" w:rsidP="00E873EA">
      <w:pPr>
        <w:spacing w:before="100" w:beforeAutospacing="1" w:after="100" w:afterAutospacing="1" w:line="240" w:lineRule="auto"/>
        <w:rPr>
          <w:rFonts w:cs="Arial"/>
          <w:color w:val="auto"/>
          <w:lang w:val="fr-FR"/>
        </w:rPr>
      </w:pPr>
      <w:r w:rsidRPr="00735D93">
        <w:rPr>
          <w:rFonts w:cs="Arial"/>
          <w:color w:val="auto"/>
          <w:lang w:val="fr-FR"/>
        </w:rPr>
        <w:t>EcoVadis figure parmi les principaux fournisseurs mondiaux de notations de durabilité pour les entreprises. Les domaines évalués comprennent notamment l’environnement, le droit du travail, les droits de la personne, l’éthique et les achats responsables. En obtenant cette récompense d’argent, TechnoCompound s’inscrit parmi les entreprises les plus performantes de son secteur.</w:t>
      </w:r>
    </w:p>
    <w:p w14:paraId="1DA31930" w14:textId="77777777" w:rsidR="00E873EA" w:rsidRPr="00735D93" w:rsidRDefault="00735D93" w:rsidP="00E873EA">
      <w:pPr>
        <w:spacing w:before="100" w:beforeAutospacing="1" w:after="100" w:afterAutospacing="1" w:line="240" w:lineRule="auto"/>
        <w:rPr>
          <w:rFonts w:cs="Arial"/>
          <w:color w:val="auto"/>
          <w:lang w:val="fr-FR"/>
        </w:rPr>
      </w:pPr>
      <w:r w:rsidRPr="00735D93">
        <w:rPr>
          <w:rFonts w:cs="Arial"/>
          <w:color w:val="auto"/>
          <w:lang w:val="fr-FR"/>
        </w:rPr>
        <w:t>Dr Gerald Aengenheyster, fondé de pouvoir R&amp;D et développement durable, se réjouit : « Cette distinction salue le travail accompli par TechnoCompound dans le domaine du développement durable et souligne notre engagement continu en faveur d’une gestion d’entreprise responsable. »</w:t>
      </w:r>
    </w:p>
    <w:p w14:paraId="150A048E" w14:textId="77777777" w:rsidR="00E873EA" w:rsidRPr="00735D93" w:rsidRDefault="00735D93" w:rsidP="00E873EA">
      <w:pPr>
        <w:spacing w:before="0" w:after="160" w:line="259" w:lineRule="auto"/>
        <w:rPr>
          <w:rFonts w:eastAsiaTheme="minorHAnsi" w:cstheme="minorBidi"/>
          <w:color w:val="auto"/>
          <w:sz w:val="20"/>
          <w:szCs w:val="22"/>
        </w:rPr>
      </w:pPr>
      <w:r w:rsidRPr="00735D93">
        <w:rPr>
          <w:rFonts w:eastAsiaTheme="minorHAnsi" w:cstheme="minorBidi"/>
          <w:noProof/>
          <w:color w:val="auto"/>
          <w:sz w:val="20"/>
          <w:szCs w:val="22"/>
          <w:lang w:val="fr-FR"/>
        </w:rPr>
        <w:lastRenderedPageBreak/>
        <w:drawing>
          <wp:inline distT="0" distB="0" distL="0" distR="0" wp14:anchorId="27200255" wp14:editId="12063B84">
            <wp:extent cx="5040000" cy="3351600"/>
            <wp:effectExtent l="0" t="0" r="8255"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40000" cy="3351600"/>
                    </a:xfrm>
                    <a:prstGeom prst="rect">
                      <a:avLst/>
                    </a:prstGeom>
                    <a:noFill/>
                    <a:ln>
                      <a:noFill/>
                    </a:ln>
                  </pic:spPr>
                </pic:pic>
              </a:graphicData>
            </a:graphic>
          </wp:inline>
        </w:drawing>
      </w:r>
    </w:p>
    <w:p w14:paraId="52D069F6" w14:textId="77724202" w:rsidR="00E873EA" w:rsidRPr="00735D93" w:rsidRDefault="008E420C" w:rsidP="00E873EA">
      <w:pPr>
        <w:spacing w:before="0" w:after="160" w:line="259" w:lineRule="auto"/>
        <w:rPr>
          <w:rFonts w:eastAsiaTheme="minorHAnsi" w:cs="Arial"/>
          <w:color w:val="auto"/>
          <w:lang w:val="fr-FR"/>
        </w:rPr>
      </w:pPr>
      <w:r>
        <w:rPr>
          <w:rFonts w:eastAsiaTheme="minorHAnsi" w:cstheme="minorBidi"/>
          <w:i/>
          <w:iCs/>
          <w:color w:val="auto"/>
          <w:sz w:val="20"/>
          <w:szCs w:val="22"/>
          <w:lang w:val="fr-FR"/>
        </w:rPr>
        <w:t xml:space="preserve"> </w:t>
      </w:r>
    </w:p>
    <w:p w14:paraId="207DF349" w14:textId="77777777" w:rsidR="00E873EA" w:rsidRPr="00735D93" w:rsidRDefault="00735D93" w:rsidP="00E873EA">
      <w:pPr>
        <w:spacing w:before="0" w:after="160" w:line="259" w:lineRule="auto"/>
        <w:rPr>
          <w:rFonts w:eastAsiaTheme="minorHAnsi" w:cstheme="minorBidi"/>
          <w:color w:val="auto"/>
          <w:sz w:val="20"/>
          <w:szCs w:val="22"/>
        </w:rPr>
      </w:pPr>
      <w:r w:rsidRPr="00735D93">
        <w:rPr>
          <w:rFonts w:eastAsiaTheme="minorHAnsi" w:cstheme="minorBidi"/>
          <w:noProof/>
          <w:color w:val="auto"/>
          <w:sz w:val="20"/>
          <w:szCs w:val="22"/>
          <w:lang w:val="fr-FR"/>
        </w:rPr>
        <w:drawing>
          <wp:inline distT="0" distB="0" distL="0" distR="0" wp14:anchorId="1425F91E" wp14:editId="0FD2B64A">
            <wp:extent cx="5040000" cy="3351600"/>
            <wp:effectExtent l="0" t="0" r="825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0000" cy="3351600"/>
                    </a:xfrm>
                    <a:prstGeom prst="rect">
                      <a:avLst/>
                    </a:prstGeom>
                    <a:noFill/>
                    <a:ln>
                      <a:noFill/>
                    </a:ln>
                  </pic:spPr>
                </pic:pic>
              </a:graphicData>
            </a:graphic>
          </wp:inline>
        </w:drawing>
      </w:r>
    </w:p>
    <w:p w14:paraId="1AEB0719" w14:textId="77777777" w:rsidR="00E873EA" w:rsidRPr="00735D93" w:rsidRDefault="00735D93" w:rsidP="00E873EA">
      <w:pPr>
        <w:spacing w:before="0" w:after="160" w:line="259" w:lineRule="auto"/>
        <w:rPr>
          <w:rFonts w:eastAsiaTheme="minorHAnsi" w:cstheme="minorBidi"/>
          <w:i/>
          <w:color w:val="auto"/>
          <w:sz w:val="20"/>
          <w:szCs w:val="22"/>
          <w:lang w:val="fr-FR"/>
        </w:rPr>
      </w:pPr>
      <w:r w:rsidRPr="00735D93">
        <w:rPr>
          <w:rFonts w:eastAsiaTheme="minorHAnsi" w:cstheme="minorBidi"/>
          <w:i/>
          <w:iCs/>
          <w:color w:val="auto"/>
          <w:sz w:val="20"/>
          <w:szCs w:val="22"/>
          <w:lang w:val="fr-FR"/>
        </w:rPr>
        <w:t>Dirk Breitbach, directeur général de TechnoCompound</w:t>
      </w:r>
    </w:p>
    <w:p w14:paraId="457BF9D0" w14:textId="77777777" w:rsidR="006E2F4A" w:rsidRPr="00735D93" w:rsidRDefault="00735D93" w:rsidP="006E2F4A">
      <w:pPr>
        <w:spacing w:before="120" w:beforeAutospacing="1" w:line="240" w:lineRule="auto"/>
        <w:jc w:val="both"/>
        <w:rPr>
          <w:rFonts w:eastAsiaTheme="majorEastAsia" w:cs="Arial"/>
          <w:i/>
          <w:iCs/>
          <w:color w:val="auto"/>
          <w:sz w:val="18"/>
          <w:szCs w:val="18"/>
          <w:lang w:val="fr-FR"/>
        </w:rPr>
      </w:pPr>
      <w:r w:rsidRPr="00735D93">
        <w:rPr>
          <w:rFonts w:eastAsiaTheme="majorEastAsia" w:cs="Arial"/>
          <w:i/>
          <w:iCs/>
          <w:color w:val="auto"/>
          <w:sz w:val="18"/>
          <w:szCs w:val="18"/>
          <w:lang w:val="fr-FR"/>
        </w:rPr>
        <w:t>TechnoCompound GmbH (www.technocompound.com) à Bad Sobernheim, fait partie du groupe Polymer (www.polymer-gruppe.de), est l'un des principaux fournisseurs de composés plastiques sur mesure en Europe et emploie 90 personnes. Elle dispose d'installations de production de pointe et compose, ajuste et modifie des polymères avec une capacité de production de 60 000 t/a pour des applications adaptées aux exigences clients. Le large portefeuille de produits de plastiques fonctionnellement modifiés s'étend des produits de base aux composés techniques en passant par les élastomères thermoplastiques.</w:t>
      </w:r>
    </w:p>
    <w:p w14:paraId="402B6F16" w14:textId="77777777" w:rsidR="006E2F4A" w:rsidRPr="00735D93" w:rsidRDefault="00735D93" w:rsidP="006E2F4A">
      <w:pPr>
        <w:spacing w:before="120" w:beforeAutospacing="1" w:line="240" w:lineRule="auto"/>
        <w:jc w:val="both"/>
        <w:rPr>
          <w:rFonts w:eastAsiaTheme="majorEastAsia" w:cs="Arial"/>
          <w:i/>
          <w:iCs/>
          <w:color w:val="auto"/>
          <w:sz w:val="18"/>
          <w:szCs w:val="18"/>
          <w:lang w:val="fr-FR"/>
        </w:rPr>
      </w:pPr>
      <w:r w:rsidRPr="00735D93">
        <w:rPr>
          <w:rFonts w:eastAsiaTheme="majorEastAsia" w:cs="Arial"/>
          <w:i/>
          <w:iCs/>
          <w:color w:val="auto"/>
          <w:sz w:val="18"/>
          <w:szCs w:val="18"/>
          <w:lang w:val="fr-FR"/>
        </w:rPr>
        <w:t xml:space="preserve">Le principal domaine d'application de ces plastiques est l'industrie automobile. Cependant, les applications dans les secteurs de la logistique, de l'emballage et de la construction sont également servies. Grâce à son organisation simplifiée et à ses systèmes modernes à débit optimisé, TechnoCompound GmbH est en mesure de proposer ses produits à des prix compétitifs. L'offre de services complète comprend une assistance technique sur site clients pour la mise en œuvre de nos références, ainsi que le développement de composés individuels adaptés à une application spécifique. </w:t>
      </w:r>
    </w:p>
    <w:p w14:paraId="5D51869E" w14:textId="77777777" w:rsidR="006E2F4A" w:rsidRPr="00CC6190" w:rsidRDefault="00735D93" w:rsidP="006E2F4A">
      <w:pPr>
        <w:spacing w:before="120" w:beforeAutospacing="1" w:line="240" w:lineRule="auto"/>
        <w:jc w:val="both"/>
        <w:rPr>
          <w:rFonts w:eastAsiaTheme="majorEastAsia" w:cs="Arial"/>
          <w:i/>
          <w:iCs/>
          <w:color w:val="auto"/>
          <w:sz w:val="18"/>
          <w:szCs w:val="18"/>
          <w:lang w:val="fr-FR"/>
        </w:rPr>
      </w:pPr>
      <w:r w:rsidRPr="00735D93">
        <w:rPr>
          <w:rFonts w:eastAsiaTheme="majorEastAsia" w:cs="Arial"/>
          <w:i/>
          <w:iCs/>
          <w:color w:val="auto"/>
          <w:sz w:val="18"/>
          <w:szCs w:val="18"/>
          <w:lang w:val="fr-FR"/>
        </w:rPr>
        <w:lastRenderedPageBreak/>
        <w:t>Le groupe Polymer, basé à Bad Sobernheim, est issu de Polymer-</w:t>
      </w:r>
      <w:proofErr w:type="spellStart"/>
      <w:r w:rsidRPr="00735D93">
        <w:rPr>
          <w:rFonts w:eastAsiaTheme="majorEastAsia" w:cs="Arial"/>
          <w:i/>
          <w:iCs/>
          <w:color w:val="auto"/>
          <w:sz w:val="18"/>
          <w:szCs w:val="18"/>
          <w:lang w:val="fr-FR"/>
        </w:rPr>
        <w:t>Chemie</w:t>
      </w:r>
      <w:proofErr w:type="spellEnd"/>
      <w:r w:rsidRPr="00735D93">
        <w:rPr>
          <w:rFonts w:eastAsiaTheme="majorEastAsia" w:cs="Arial"/>
          <w:i/>
          <w:iCs/>
          <w:color w:val="auto"/>
          <w:sz w:val="18"/>
          <w:szCs w:val="18"/>
          <w:lang w:val="fr-FR"/>
        </w:rPr>
        <w:t xml:space="preserve"> GmbH, fondée en 1973, une entreprise familiale indépendante du groupe qui compose, raffine et modifie des plastiques. Flexible et efficace, elle accompagne toujours plus ses clients dans le monde entier avec des produits innovants et sur mesure de la plus haute qualité. </w:t>
      </w:r>
      <w:r w:rsidRPr="00CC6190">
        <w:rPr>
          <w:rFonts w:eastAsiaTheme="majorEastAsia" w:cs="Arial"/>
          <w:i/>
          <w:iCs/>
          <w:color w:val="auto"/>
          <w:sz w:val="18"/>
          <w:szCs w:val="18"/>
          <w:lang w:val="fr-FR"/>
        </w:rPr>
        <w:t>Aujourd'hui, le groupe Polymer comprend les sociétés de formulation Polymer-</w:t>
      </w:r>
      <w:proofErr w:type="spellStart"/>
      <w:r w:rsidRPr="00CC6190">
        <w:rPr>
          <w:rFonts w:eastAsiaTheme="majorEastAsia" w:cs="Arial"/>
          <w:i/>
          <w:iCs/>
          <w:color w:val="auto"/>
          <w:sz w:val="18"/>
          <w:szCs w:val="18"/>
          <w:lang w:val="fr-FR"/>
        </w:rPr>
        <w:t>Chemie</w:t>
      </w:r>
      <w:proofErr w:type="spellEnd"/>
      <w:r w:rsidRPr="00CC6190">
        <w:rPr>
          <w:rFonts w:eastAsiaTheme="majorEastAsia" w:cs="Arial"/>
          <w:i/>
          <w:iCs/>
          <w:color w:val="auto"/>
          <w:sz w:val="18"/>
          <w:szCs w:val="18"/>
          <w:lang w:val="fr-FR"/>
        </w:rPr>
        <w:t>, Polymer-</w:t>
      </w:r>
      <w:proofErr w:type="spellStart"/>
      <w:r w:rsidRPr="00CC6190">
        <w:rPr>
          <w:rFonts w:eastAsiaTheme="majorEastAsia" w:cs="Arial"/>
          <w:i/>
          <w:iCs/>
          <w:color w:val="auto"/>
          <w:sz w:val="18"/>
          <w:szCs w:val="18"/>
          <w:lang w:val="fr-FR"/>
        </w:rPr>
        <w:t>Chemie</w:t>
      </w:r>
      <w:proofErr w:type="spellEnd"/>
      <w:r w:rsidRPr="00CC6190">
        <w:rPr>
          <w:rFonts w:eastAsiaTheme="majorEastAsia" w:cs="Arial"/>
          <w:i/>
          <w:iCs/>
          <w:color w:val="auto"/>
          <w:sz w:val="18"/>
          <w:szCs w:val="18"/>
          <w:lang w:val="fr-FR"/>
        </w:rPr>
        <w:t xml:space="preserve"> Rus, Sun </w:t>
      </w:r>
      <w:proofErr w:type="spellStart"/>
      <w:r w:rsidRPr="00CC6190">
        <w:rPr>
          <w:rFonts w:eastAsiaTheme="majorEastAsia" w:cs="Arial"/>
          <w:i/>
          <w:iCs/>
          <w:color w:val="auto"/>
          <w:sz w:val="18"/>
          <w:szCs w:val="18"/>
          <w:lang w:val="fr-FR"/>
        </w:rPr>
        <w:t>Alloys</w:t>
      </w:r>
      <w:proofErr w:type="spellEnd"/>
      <w:r w:rsidRPr="00CC6190">
        <w:rPr>
          <w:rFonts w:eastAsiaTheme="majorEastAsia" w:cs="Arial"/>
          <w:i/>
          <w:iCs/>
          <w:color w:val="auto"/>
          <w:sz w:val="18"/>
          <w:szCs w:val="18"/>
          <w:lang w:val="fr-FR"/>
        </w:rPr>
        <w:t xml:space="preserve"> Europe, TechnoCompound, </w:t>
      </w:r>
      <w:proofErr w:type="spellStart"/>
      <w:r w:rsidRPr="00CC6190">
        <w:rPr>
          <w:rFonts w:eastAsiaTheme="majorEastAsia" w:cs="Arial"/>
          <w:i/>
          <w:iCs/>
          <w:color w:val="auto"/>
          <w:sz w:val="18"/>
          <w:szCs w:val="18"/>
          <w:lang w:val="fr-FR"/>
        </w:rPr>
        <w:t>PolyMIM</w:t>
      </w:r>
      <w:proofErr w:type="spellEnd"/>
      <w:r w:rsidRPr="00CC6190">
        <w:rPr>
          <w:rFonts w:eastAsiaTheme="majorEastAsia" w:cs="Arial"/>
          <w:i/>
          <w:iCs/>
          <w:color w:val="auto"/>
          <w:sz w:val="18"/>
          <w:szCs w:val="18"/>
          <w:lang w:val="fr-FR"/>
        </w:rPr>
        <w:t xml:space="preserve"> et </w:t>
      </w:r>
      <w:proofErr w:type="spellStart"/>
      <w:r w:rsidRPr="00CC6190">
        <w:rPr>
          <w:rFonts w:eastAsiaTheme="majorEastAsia" w:cs="Arial"/>
          <w:i/>
          <w:iCs/>
          <w:color w:val="auto"/>
          <w:sz w:val="18"/>
          <w:szCs w:val="18"/>
          <w:lang w:val="fr-FR"/>
        </w:rPr>
        <w:t>SoBiCo</w:t>
      </w:r>
      <w:proofErr w:type="spellEnd"/>
      <w:r w:rsidRPr="00CC6190">
        <w:rPr>
          <w:rFonts w:eastAsiaTheme="majorEastAsia" w:cs="Arial"/>
          <w:i/>
          <w:iCs/>
          <w:color w:val="auto"/>
          <w:sz w:val="18"/>
          <w:szCs w:val="18"/>
          <w:lang w:val="fr-FR"/>
        </w:rPr>
        <w:t xml:space="preserve"> et emploie plus de 500 personnes.</w:t>
      </w:r>
    </w:p>
    <w:p w14:paraId="1BA63D42" w14:textId="77777777" w:rsidR="006E2F4A" w:rsidRPr="00CC6190" w:rsidRDefault="006E2F4A" w:rsidP="006E2F4A">
      <w:pPr>
        <w:spacing w:before="120" w:beforeAutospacing="1" w:line="240" w:lineRule="auto"/>
        <w:jc w:val="both"/>
        <w:rPr>
          <w:rFonts w:eastAsiaTheme="majorEastAsia" w:cs="Arial"/>
          <w:i/>
          <w:iCs/>
          <w:color w:val="auto"/>
          <w:sz w:val="18"/>
          <w:szCs w:val="18"/>
          <w:lang w:val="fr-FR"/>
        </w:rPr>
      </w:pPr>
    </w:p>
    <w:p w14:paraId="5388C8FE" w14:textId="77777777" w:rsidR="006E2F4A" w:rsidRPr="00CC6190" w:rsidRDefault="00735D93" w:rsidP="006E2F4A">
      <w:pPr>
        <w:spacing w:before="120" w:line="240" w:lineRule="auto"/>
        <w:rPr>
          <w:sz w:val="22"/>
          <w:u w:val="single"/>
          <w:lang w:val="fr-FR"/>
        </w:rPr>
      </w:pPr>
      <w:r w:rsidRPr="00CC6190">
        <w:rPr>
          <w:sz w:val="22"/>
          <w:u w:val="single"/>
          <w:lang w:val="fr-FR"/>
        </w:rPr>
        <w:t>Renseignements complémentaires :</w:t>
      </w:r>
    </w:p>
    <w:p w14:paraId="4193A512" w14:textId="77777777" w:rsidR="006E2F4A" w:rsidRPr="00CC6190" w:rsidRDefault="00735D93" w:rsidP="006E2F4A">
      <w:pPr>
        <w:spacing w:before="0" w:after="120" w:line="240" w:lineRule="auto"/>
        <w:ind w:left="567"/>
        <w:rPr>
          <w:rFonts w:eastAsiaTheme="minorHAnsi" w:cstheme="minorBidi"/>
          <w:color w:val="auto"/>
          <w:sz w:val="22"/>
          <w:szCs w:val="22"/>
          <w:lang w:val="fr-FR"/>
        </w:rPr>
      </w:pPr>
      <w:r w:rsidRPr="00CC6190">
        <w:rPr>
          <w:rFonts w:eastAsiaTheme="minorHAnsi" w:cstheme="minorBidi"/>
          <w:color w:val="auto"/>
          <w:sz w:val="22"/>
          <w:szCs w:val="22"/>
          <w:lang w:val="fr-FR"/>
        </w:rPr>
        <w:t>Rifat Erden, Directeur Commercial, TechnoCompound GmbH,</w:t>
      </w:r>
      <w:r w:rsidRPr="00CC6190">
        <w:rPr>
          <w:rFonts w:eastAsiaTheme="minorHAnsi" w:cstheme="minorBidi"/>
          <w:color w:val="auto"/>
          <w:sz w:val="22"/>
          <w:szCs w:val="22"/>
          <w:lang w:val="fr-FR"/>
        </w:rPr>
        <w:br/>
        <w:t xml:space="preserve">Am </w:t>
      </w:r>
      <w:proofErr w:type="spellStart"/>
      <w:r w:rsidRPr="00CC6190">
        <w:rPr>
          <w:rFonts w:eastAsiaTheme="minorHAnsi" w:cstheme="minorBidi"/>
          <w:color w:val="auto"/>
          <w:sz w:val="22"/>
          <w:szCs w:val="22"/>
          <w:lang w:val="fr-FR"/>
        </w:rPr>
        <w:t>Gefach</w:t>
      </w:r>
      <w:proofErr w:type="spellEnd"/>
      <w:r w:rsidRPr="00CC6190">
        <w:rPr>
          <w:rFonts w:eastAsiaTheme="minorHAnsi" w:cstheme="minorBidi"/>
          <w:color w:val="auto"/>
          <w:sz w:val="22"/>
          <w:szCs w:val="22"/>
          <w:lang w:val="fr-FR"/>
        </w:rPr>
        <w:t>, D-55566 Bad Sobernheim</w:t>
      </w:r>
      <w:r w:rsidRPr="00CC6190">
        <w:rPr>
          <w:rFonts w:eastAsiaTheme="minorHAnsi" w:cstheme="minorBidi"/>
          <w:color w:val="auto"/>
          <w:sz w:val="22"/>
          <w:szCs w:val="22"/>
          <w:lang w:val="fr-FR"/>
        </w:rPr>
        <w:br/>
        <w:t>Tel :  +49 (0) 67 51/8 56 05-472, rifat.erden@technocompound.com</w:t>
      </w:r>
    </w:p>
    <w:p w14:paraId="5830737D" w14:textId="77777777" w:rsidR="006E2F4A" w:rsidRPr="00CC6190" w:rsidRDefault="00735D93" w:rsidP="006E2F4A">
      <w:pPr>
        <w:spacing w:line="240" w:lineRule="auto"/>
        <w:rPr>
          <w:sz w:val="22"/>
          <w:u w:val="single"/>
          <w:lang w:val="en-US"/>
        </w:rPr>
      </w:pPr>
      <w:r w:rsidRPr="00CC6190">
        <w:rPr>
          <w:sz w:val="22"/>
          <w:u w:val="single"/>
          <w:lang w:val="en-US"/>
        </w:rPr>
        <w:t xml:space="preserve">Contact </w:t>
      </w:r>
      <w:proofErr w:type="spellStart"/>
      <w:r w:rsidRPr="00CC6190">
        <w:rPr>
          <w:sz w:val="22"/>
          <w:u w:val="single"/>
          <w:lang w:val="en-US"/>
        </w:rPr>
        <w:t>rédactionnel</w:t>
      </w:r>
      <w:proofErr w:type="spellEnd"/>
      <w:r w:rsidRPr="00CC6190">
        <w:rPr>
          <w:sz w:val="22"/>
          <w:u w:val="single"/>
          <w:lang w:val="en-US"/>
        </w:rPr>
        <w:t xml:space="preserve"> et </w:t>
      </w:r>
      <w:proofErr w:type="spellStart"/>
      <w:r w:rsidRPr="00CC6190">
        <w:rPr>
          <w:sz w:val="22"/>
          <w:u w:val="single"/>
          <w:lang w:val="en-US"/>
        </w:rPr>
        <w:t>exemplaires</w:t>
      </w:r>
      <w:proofErr w:type="spellEnd"/>
      <w:r w:rsidRPr="00CC6190">
        <w:rPr>
          <w:sz w:val="22"/>
          <w:u w:val="single"/>
          <w:lang w:val="en-US"/>
        </w:rPr>
        <w:t xml:space="preserve"> </w:t>
      </w:r>
      <w:proofErr w:type="spellStart"/>
      <w:proofErr w:type="gramStart"/>
      <w:r w:rsidRPr="00CC6190">
        <w:rPr>
          <w:sz w:val="22"/>
          <w:u w:val="single"/>
          <w:lang w:val="en-US"/>
        </w:rPr>
        <w:t>justificatifs</w:t>
      </w:r>
      <w:proofErr w:type="spellEnd"/>
      <w:r w:rsidRPr="00CC6190">
        <w:rPr>
          <w:sz w:val="22"/>
          <w:u w:val="single"/>
          <w:lang w:val="en-US"/>
        </w:rPr>
        <w:t xml:space="preserve"> :</w:t>
      </w:r>
      <w:proofErr w:type="gramEnd"/>
    </w:p>
    <w:p w14:paraId="55CB54FB" w14:textId="77777777" w:rsidR="006E2F4A" w:rsidRPr="008E420C" w:rsidRDefault="00735D93" w:rsidP="006E2F4A">
      <w:pPr>
        <w:spacing w:before="0" w:after="120" w:line="240" w:lineRule="auto"/>
        <w:ind w:left="567"/>
        <w:rPr>
          <w:rFonts w:eastAsiaTheme="minorHAnsi" w:cstheme="minorBidi"/>
          <w:color w:val="auto"/>
          <w:sz w:val="22"/>
          <w:szCs w:val="22"/>
          <w:lang w:val="en-US"/>
        </w:rPr>
      </w:pPr>
      <w:r w:rsidRPr="008E420C">
        <w:rPr>
          <w:rFonts w:eastAsiaTheme="minorHAnsi" w:cstheme="minorBidi"/>
          <w:color w:val="auto"/>
          <w:sz w:val="22"/>
          <w:szCs w:val="22"/>
          <w:lang w:val="en-US"/>
        </w:rPr>
        <w:t>Dr.-Ing. Jörg Wolters, KONSENS Public Relations GmbH &amp; Co. KG,</w:t>
      </w:r>
      <w:r w:rsidRPr="008E420C">
        <w:rPr>
          <w:rFonts w:eastAsiaTheme="minorHAnsi" w:cstheme="minorBidi"/>
          <w:color w:val="auto"/>
          <w:sz w:val="22"/>
          <w:szCs w:val="22"/>
          <w:lang w:val="en-US"/>
        </w:rPr>
        <w:br/>
        <w:t>Hans-Böckler-Straße 20, D-63811 Stockstadt am Main</w:t>
      </w:r>
      <w:r w:rsidRPr="008E420C">
        <w:rPr>
          <w:rFonts w:eastAsiaTheme="minorHAnsi" w:cstheme="minorBidi"/>
          <w:color w:val="auto"/>
          <w:sz w:val="22"/>
          <w:szCs w:val="22"/>
          <w:lang w:val="en-US"/>
        </w:rPr>
        <w:br/>
      </w:r>
      <w:proofErr w:type="gramStart"/>
      <w:r w:rsidRPr="008E420C">
        <w:rPr>
          <w:rFonts w:eastAsiaTheme="minorHAnsi" w:cstheme="minorBidi"/>
          <w:color w:val="auto"/>
          <w:sz w:val="22"/>
          <w:szCs w:val="22"/>
          <w:lang w:val="en-US"/>
        </w:rPr>
        <w:t>Tel :</w:t>
      </w:r>
      <w:proofErr w:type="gramEnd"/>
      <w:r w:rsidRPr="008E420C">
        <w:rPr>
          <w:rFonts w:eastAsiaTheme="minorHAnsi" w:cstheme="minorBidi"/>
          <w:color w:val="auto"/>
          <w:sz w:val="22"/>
          <w:szCs w:val="22"/>
          <w:lang w:val="en-US"/>
        </w:rPr>
        <w:t xml:space="preserve">  +49 (0) 60 27/99 00 5-13, </w:t>
      </w:r>
      <w:hyperlink r:id="rId11" w:history="1">
        <w:r w:rsidR="006E2F4A" w:rsidRPr="008E420C">
          <w:rPr>
            <w:rFonts w:eastAsiaTheme="minorHAnsi" w:cstheme="minorBidi"/>
            <w:color w:val="auto"/>
            <w:sz w:val="22"/>
            <w:szCs w:val="22"/>
            <w:lang w:val="en-US"/>
          </w:rPr>
          <w:t>mail@konsens.de</w:t>
        </w:r>
      </w:hyperlink>
    </w:p>
    <w:p w14:paraId="20AD1BBB" w14:textId="779BBD39" w:rsidR="006E2F4A" w:rsidRPr="008E420C" w:rsidRDefault="00735D93" w:rsidP="008E420C">
      <w:pPr>
        <w:shd w:val="clear" w:color="auto" w:fill="D0CECE" w:themeFill="background2" w:themeFillShade="E6"/>
        <w:spacing w:before="120" w:line="240" w:lineRule="auto"/>
        <w:jc w:val="center"/>
        <w:rPr>
          <w:sz w:val="22"/>
          <w:lang w:val="es-ES"/>
        </w:rPr>
      </w:pPr>
      <w:r w:rsidRPr="00CC6190">
        <w:rPr>
          <w:sz w:val="22"/>
          <w:lang w:val="es-ES"/>
        </w:rPr>
        <w:t xml:space="preserve">Vous trouverez le texte et les images de ce communiqué de presse à télécharger sous : </w:t>
      </w:r>
      <w:r w:rsidRPr="00CC6190">
        <w:rPr>
          <w:b/>
          <w:bCs/>
          <w:i/>
          <w:iCs/>
          <w:sz w:val="22"/>
          <w:lang w:val="es-ES"/>
        </w:rPr>
        <w:t>https://www.konsens.de/pressemitteilungen/technocompound-gmbh</w:t>
      </w:r>
    </w:p>
    <w:sectPr w:rsidR="006E2F4A" w:rsidRPr="008E420C">
      <w:headerReference w:type="default" r:id="rId12"/>
      <w:headerReference w:type="first" r:id="rId13"/>
      <w:pgSz w:w="11907" w:h="16840" w:code="9"/>
      <w:pgMar w:top="1276" w:right="1701" w:bottom="709" w:left="1701" w:header="62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2AA64" w14:textId="77777777" w:rsidR="00D33068" w:rsidRDefault="00D33068">
      <w:pPr>
        <w:spacing w:before="0" w:line="240" w:lineRule="auto"/>
      </w:pPr>
      <w:r>
        <w:separator/>
      </w:r>
    </w:p>
  </w:endnote>
  <w:endnote w:type="continuationSeparator" w:id="0">
    <w:p w14:paraId="37BDC20F" w14:textId="77777777" w:rsidR="00D33068" w:rsidRDefault="00D33068">
      <w:pPr>
        <w:spacing w:before="0" w:line="240" w:lineRule="auto"/>
      </w:pPr>
      <w:r>
        <w:continuationSeparator/>
      </w:r>
    </w:p>
  </w:endnote>
  <w:endnote w:type="continuationNotice" w:id="1">
    <w:p w14:paraId="45AFA481" w14:textId="77777777" w:rsidR="00D33068" w:rsidRDefault="00D3306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6578" w14:textId="77777777" w:rsidR="00D33068" w:rsidRDefault="00D33068">
      <w:pPr>
        <w:spacing w:before="0" w:line="240" w:lineRule="auto"/>
      </w:pPr>
      <w:r>
        <w:separator/>
      </w:r>
    </w:p>
  </w:footnote>
  <w:footnote w:type="continuationSeparator" w:id="0">
    <w:p w14:paraId="3D902B5D" w14:textId="77777777" w:rsidR="00D33068" w:rsidRDefault="00D33068">
      <w:pPr>
        <w:spacing w:before="0" w:line="240" w:lineRule="auto"/>
      </w:pPr>
      <w:r>
        <w:continuationSeparator/>
      </w:r>
    </w:p>
  </w:footnote>
  <w:footnote w:type="continuationNotice" w:id="1">
    <w:p w14:paraId="49BD6741" w14:textId="77777777" w:rsidR="00D33068" w:rsidRDefault="00D33068">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167D" w14:textId="77777777" w:rsidR="00F559DC" w:rsidRPr="00735D93" w:rsidRDefault="00735D93">
    <w:pPr>
      <w:pStyle w:val="Kopfzeile"/>
      <w:pBdr>
        <w:bottom w:val="single" w:sz="4" w:space="0" w:color="auto"/>
      </w:pBdr>
      <w:jc w:val="left"/>
      <w:rPr>
        <w:lang w:val="fr-FR"/>
      </w:rPr>
    </w:pPr>
    <w:r>
      <w:rPr>
        <w:lang w:val="fr-FR"/>
      </w:rPr>
      <w:t>Page </w:t>
    </w:r>
    <w:r>
      <w:rPr>
        <w:lang w:val="fr-FR"/>
      </w:rPr>
      <w:fldChar w:fldCharType="begin"/>
    </w:r>
    <w:r>
      <w:rPr>
        <w:lang w:val="fr-FR"/>
      </w:rPr>
      <w:instrText xml:space="preserve"> PAGE </w:instrText>
    </w:r>
    <w:r>
      <w:rPr>
        <w:lang w:val="fr-FR"/>
      </w:rPr>
      <w:fldChar w:fldCharType="separate"/>
    </w:r>
    <w:r>
      <w:rPr>
        <w:lang w:val="fr-FR"/>
      </w:rPr>
      <w:t>3</w:t>
    </w:r>
    <w:r>
      <w:rPr>
        <w:lang w:val="fr-FR"/>
      </w:rPr>
      <w:fldChar w:fldCharType="end"/>
    </w:r>
    <w:r>
      <w:rPr>
        <w:lang w:val="fr-FR"/>
      </w:rPr>
      <w:t xml:space="preserve"> Lire le communiqué de presse </w:t>
    </w:r>
    <w:r>
      <w:rPr>
        <w:lang w:val="fr-FR"/>
      </w:rPr>
      <w:br/>
      <w:t>TechnoCompound décroche la médaille d’argent d’EcoVadis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45"/>
      <w:gridCol w:w="4248"/>
    </w:tblGrid>
    <w:tr w:rsidR="002D5445" w14:paraId="76759E26" w14:textId="77777777">
      <w:tc>
        <w:tcPr>
          <w:tcW w:w="4247" w:type="dxa"/>
          <w:gridSpan w:val="2"/>
        </w:tcPr>
        <w:p w14:paraId="09C1D72B" w14:textId="77777777" w:rsidR="00F559DC" w:rsidRDefault="00F559DC">
          <w:pPr>
            <w:pStyle w:val="Kopfzeile"/>
            <w:pBdr>
              <w:bottom w:val="none" w:sz="0" w:space="0" w:color="auto"/>
            </w:pBdr>
            <w:jc w:val="left"/>
            <w:rPr>
              <w:noProof/>
              <w:sz w:val="44"/>
              <w:szCs w:val="44"/>
            </w:rPr>
          </w:pPr>
        </w:p>
      </w:tc>
      <w:tc>
        <w:tcPr>
          <w:tcW w:w="4248" w:type="dxa"/>
        </w:tcPr>
        <w:p w14:paraId="6C68403F" w14:textId="77777777" w:rsidR="00F559DC" w:rsidRDefault="00735D93">
          <w:pPr>
            <w:pStyle w:val="Kopfzeile"/>
            <w:pBdr>
              <w:bottom w:val="none" w:sz="0" w:space="0" w:color="auto"/>
            </w:pBdr>
            <w:tabs>
              <w:tab w:val="clear" w:pos="4536"/>
              <w:tab w:val="center" w:pos="4006"/>
            </w:tabs>
            <w:jc w:val="right"/>
            <w:rPr>
              <w:noProof/>
              <w:sz w:val="16"/>
              <w:szCs w:val="16"/>
            </w:rPr>
          </w:pPr>
          <w:r>
            <w:rPr>
              <w:noProof/>
              <w:sz w:val="16"/>
              <w:szCs w:val="16"/>
              <w:lang w:val="fr-FR"/>
            </w:rPr>
            <w:drawing>
              <wp:inline distT="0" distB="0" distL="0" distR="0" wp14:anchorId="06B9A601" wp14:editId="1B222C56">
                <wp:extent cx="2243455" cy="372110"/>
                <wp:effectExtent l="0" t="0" r="4445" b="8890"/>
                <wp:docPr id="1688559360" name="Grafik 2" descr="Ein Bild, das Grafiken, Grafikdesign,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59360" name="Grafik 2" descr="Ein Bild, das Grafiken, Grafikdesign, Schrift,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3455" cy="372110"/>
                        </a:xfrm>
                        <a:prstGeom prst="rect">
                          <a:avLst/>
                        </a:prstGeom>
                        <a:noFill/>
                      </pic:spPr>
                    </pic:pic>
                  </a:graphicData>
                </a:graphic>
              </wp:inline>
            </w:drawing>
          </w:r>
        </w:p>
      </w:tc>
    </w:tr>
    <w:tr w:rsidR="002D5445" w14:paraId="53E82917" w14:textId="77777777" w:rsidTr="006E2F4A">
      <w:tc>
        <w:tcPr>
          <w:tcW w:w="3402" w:type="dxa"/>
          <w:vAlign w:val="bottom"/>
        </w:tcPr>
        <w:p w14:paraId="194109C6" w14:textId="77777777" w:rsidR="00F559DC" w:rsidRDefault="00F559DC">
          <w:pPr>
            <w:pStyle w:val="Kopfzeile"/>
            <w:pBdr>
              <w:bottom w:val="none" w:sz="0" w:space="0" w:color="auto"/>
            </w:pBdr>
            <w:jc w:val="left"/>
            <w:rPr>
              <w:noProof/>
              <w:sz w:val="44"/>
              <w:szCs w:val="44"/>
            </w:rPr>
          </w:pPr>
        </w:p>
      </w:tc>
      <w:tc>
        <w:tcPr>
          <w:tcW w:w="5093" w:type="dxa"/>
          <w:gridSpan w:val="2"/>
          <w:vAlign w:val="bottom"/>
        </w:tcPr>
        <w:p w14:paraId="6F20AF0B" w14:textId="77777777" w:rsidR="00F559DC" w:rsidRDefault="00735D93">
          <w:pPr>
            <w:pStyle w:val="Kopfzeile"/>
            <w:pBdr>
              <w:bottom w:val="none" w:sz="0" w:space="0" w:color="auto"/>
            </w:pBdr>
            <w:jc w:val="right"/>
            <w:rPr>
              <w:noProof/>
              <w:sz w:val="44"/>
              <w:szCs w:val="44"/>
            </w:rPr>
          </w:pPr>
          <w:r>
            <w:rPr>
              <w:b/>
              <w:bCs/>
              <w:sz w:val="40"/>
              <w:szCs w:val="40"/>
              <w:lang w:val="fr-FR"/>
            </w:rPr>
            <w:t>Communiqué de presse</w:t>
          </w:r>
        </w:p>
      </w:tc>
    </w:tr>
  </w:tbl>
  <w:p w14:paraId="0C7D2702" w14:textId="77777777" w:rsidR="00F559DC" w:rsidRDefault="00F559DC">
    <w:pPr>
      <w:pStyle w:val="Kopfzeile"/>
      <w:pBdr>
        <w:bottom w:val="none" w:sz="0" w:space="0" w:color="auto"/>
      </w:pBdr>
      <w:jc w:val="left"/>
      <w:rPr>
        <w:noProof/>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44.65pt" o:bullet="t">
        <v:imagedata r:id="rId1" o:title="art8998"/>
      </v:shape>
    </w:pict>
  </w:numPicBullet>
  <w:abstractNum w:abstractNumId="0" w15:restartNumberingAfterBreak="0">
    <w:nsid w:val="FFFFFF89"/>
    <w:multiLevelType w:val="singleLevel"/>
    <w:tmpl w:val="0E24D54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F969EC"/>
    <w:multiLevelType w:val="hybridMultilevel"/>
    <w:tmpl w:val="7F08C9DC"/>
    <w:lvl w:ilvl="0" w:tplc="EF74DC60">
      <w:start w:val="1"/>
      <w:numFmt w:val="bullet"/>
      <w:lvlText w:val=""/>
      <w:lvlJc w:val="left"/>
      <w:pPr>
        <w:ind w:left="720" w:hanging="360"/>
      </w:pPr>
      <w:rPr>
        <w:rFonts w:ascii="Symbol" w:hAnsi="Symbol" w:hint="default"/>
      </w:rPr>
    </w:lvl>
    <w:lvl w:ilvl="1" w:tplc="CBDE7D46">
      <w:start w:val="1"/>
      <w:numFmt w:val="bullet"/>
      <w:lvlText w:val="o"/>
      <w:lvlJc w:val="left"/>
      <w:pPr>
        <w:ind w:left="1440" w:hanging="360"/>
      </w:pPr>
      <w:rPr>
        <w:rFonts w:ascii="Courier New" w:hAnsi="Courier New" w:cs="Courier New" w:hint="default"/>
      </w:rPr>
    </w:lvl>
    <w:lvl w:ilvl="2" w:tplc="628ADEEC">
      <w:start w:val="1"/>
      <w:numFmt w:val="bullet"/>
      <w:lvlText w:val=""/>
      <w:lvlJc w:val="left"/>
      <w:pPr>
        <w:ind w:left="2160" w:hanging="360"/>
      </w:pPr>
      <w:rPr>
        <w:rFonts w:ascii="Wingdings" w:hAnsi="Wingdings" w:hint="default"/>
      </w:rPr>
    </w:lvl>
    <w:lvl w:ilvl="3" w:tplc="A6AC9706">
      <w:start w:val="1"/>
      <w:numFmt w:val="bullet"/>
      <w:lvlText w:val=""/>
      <w:lvlJc w:val="left"/>
      <w:pPr>
        <w:ind w:left="2880" w:hanging="360"/>
      </w:pPr>
      <w:rPr>
        <w:rFonts w:ascii="Symbol" w:hAnsi="Symbol" w:hint="default"/>
      </w:rPr>
    </w:lvl>
    <w:lvl w:ilvl="4" w:tplc="64CC436A">
      <w:start w:val="1"/>
      <w:numFmt w:val="bullet"/>
      <w:lvlText w:val="o"/>
      <w:lvlJc w:val="left"/>
      <w:pPr>
        <w:ind w:left="3600" w:hanging="360"/>
      </w:pPr>
      <w:rPr>
        <w:rFonts w:ascii="Courier New" w:hAnsi="Courier New" w:cs="Courier New" w:hint="default"/>
      </w:rPr>
    </w:lvl>
    <w:lvl w:ilvl="5" w:tplc="B116364E">
      <w:start w:val="1"/>
      <w:numFmt w:val="bullet"/>
      <w:lvlText w:val=""/>
      <w:lvlJc w:val="left"/>
      <w:pPr>
        <w:ind w:left="4320" w:hanging="360"/>
      </w:pPr>
      <w:rPr>
        <w:rFonts w:ascii="Wingdings" w:hAnsi="Wingdings" w:hint="default"/>
      </w:rPr>
    </w:lvl>
    <w:lvl w:ilvl="6" w:tplc="B268E578">
      <w:start w:val="1"/>
      <w:numFmt w:val="bullet"/>
      <w:lvlText w:val=""/>
      <w:lvlJc w:val="left"/>
      <w:pPr>
        <w:ind w:left="5040" w:hanging="360"/>
      </w:pPr>
      <w:rPr>
        <w:rFonts w:ascii="Symbol" w:hAnsi="Symbol" w:hint="default"/>
      </w:rPr>
    </w:lvl>
    <w:lvl w:ilvl="7" w:tplc="AD32F0AA">
      <w:start w:val="1"/>
      <w:numFmt w:val="bullet"/>
      <w:lvlText w:val="o"/>
      <w:lvlJc w:val="left"/>
      <w:pPr>
        <w:ind w:left="5760" w:hanging="360"/>
      </w:pPr>
      <w:rPr>
        <w:rFonts w:ascii="Courier New" w:hAnsi="Courier New" w:cs="Courier New" w:hint="default"/>
      </w:rPr>
    </w:lvl>
    <w:lvl w:ilvl="8" w:tplc="5F3E22FE">
      <w:start w:val="1"/>
      <w:numFmt w:val="bullet"/>
      <w:lvlText w:val=""/>
      <w:lvlJc w:val="left"/>
      <w:pPr>
        <w:ind w:left="6480" w:hanging="360"/>
      </w:pPr>
      <w:rPr>
        <w:rFonts w:ascii="Wingdings" w:hAnsi="Wingdings" w:hint="default"/>
      </w:rPr>
    </w:lvl>
  </w:abstractNum>
  <w:abstractNum w:abstractNumId="2" w15:restartNumberingAfterBreak="0">
    <w:nsid w:val="1004230B"/>
    <w:multiLevelType w:val="hybridMultilevel"/>
    <w:tmpl w:val="25F8E9B4"/>
    <w:lvl w:ilvl="0" w:tplc="1E10D0BC">
      <w:start w:val="1"/>
      <w:numFmt w:val="bullet"/>
      <w:lvlText w:val=""/>
      <w:lvlJc w:val="left"/>
      <w:pPr>
        <w:ind w:left="360" w:hanging="360"/>
      </w:pPr>
      <w:rPr>
        <w:rFonts w:ascii="Symbol" w:hAnsi="Symbol" w:hint="default"/>
      </w:rPr>
    </w:lvl>
    <w:lvl w:ilvl="1" w:tplc="4FCE239A">
      <w:start w:val="1"/>
      <w:numFmt w:val="bullet"/>
      <w:lvlText w:val="o"/>
      <w:lvlJc w:val="left"/>
      <w:pPr>
        <w:ind w:left="1080" w:hanging="360"/>
      </w:pPr>
      <w:rPr>
        <w:rFonts w:ascii="Courier New" w:hAnsi="Courier New" w:cs="Courier New" w:hint="default"/>
      </w:rPr>
    </w:lvl>
    <w:lvl w:ilvl="2" w:tplc="21B6B4AA" w:tentative="1">
      <w:start w:val="1"/>
      <w:numFmt w:val="bullet"/>
      <w:lvlText w:val=""/>
      <w:lvlJc w:val="left"/>
      <w:pPr>
        <w:ind w:left="1800" w:hanging="360"/>
      </w:pPr>
      <w:rPr>
        <w:rFonts w:ascii="Wingdings" w:hAnsi="Wingdings" w:hint="default"/>
      </w:rPr>
    </w:lvl>
    <w:lvl w:ilvl="3" w:tplc="88046988" w:tentative="1">
      <w:start w:val="1"/>
      <w:numFmt w:val="bullet"/>
      <w:lvlText w:val=""/>
      <w:lvlJc w:val="left"/>
      <w:pPr>
        <w:ind w:left="2520" w:hanging="360"/>
      </w:pPr>
      <w:rPr>
        <w:rFonts w:ascii="Symbol" w:hAnsi="Symbol" w:hint="default"/>
      </w:rPr>
    </w:lvl>
    <w:lvl w:ilvl="4" w:tplc="F73436C4" w:tentative="1">
      <w:start w:val="1"/>
      <w:numFmt w:val="bullet"/>
      <w:lvlText w:val="o"/>
      <w:lvlJc w:val="left"/>
      <w:pPr>
        <w:ind w:left="3240" w:hanging="360"/>
      </w:pPr>
      <w:rPr>
        <w:rFonts w:ascii="Courier New" w:hAnsi="Courier New" w:cs="Courier New" w:hint="default"/>
      </w:rPr>
    </w:lvl>
    <w:lvl w:ilvl="5" w:tplc="5F467852" w:tentative="1">
      <w:start w:val="1"/>
      <w:numFmt w:val="bullet"/>
      <w:lvlText w:val=""/>
      <w:lvlJc w:val="left"/>
      <w:pPr>
        <w:ind w:left="3960" w:hanging="360"/>
      </w:pPr>
      <w:rPr>
        <w:rFonts w:ascii="Wingdings" w:hAnsi="Wingdings" w:hint="default"/>
      </w:rPr>
    </w:lvl>
    <w:lvl w:ilvl="6" w:tplc="632AAD22" w:tentative="1">
      <w:start w:val="1"/>
      <w:numFmt w:val="bullet"/>
      <w:lvlText w:val=""/>
      <w:lvlJc w:val="left"/>
      <w:pPr>
        <w:ind w:left="4680" w:hanging="360"/>
      </w:pPr>
      <w:rPr>
        <w:rFonts w:ascii="Symbol" w:hAnsi="Symbol" w:hint="default"/>
      </w:rPr>
    </w:lvl>
    <w:lvl w:ilvl="7" w:tplc="71288CEC" w:tentative="1">
      <w:start w:val="1"/>
      <w:numFmt w:val="bullet"/>
      <w:lvlText w:val="o"/>
      <w:lvlJc w:val="left"/>
      <w:pPr>
        <w:ind w:left="5400" w:hanging="360"/>
      </w:pPr>
      <w:rPr>
        <w:rFonts w:ascii="Courier New" w:hAnsi="Courier New" w:cs="Courier New" w:hint="default"/>
      </w:rPr>
    </w:lvl>
    <w:lvl w:ilvl="8" w:tplc="C67875C6" w:tentative="1">
      <w:start w:val="1"/>
      <w:numFmt w:val="bullet"/>
      <w:lvlText w:val=""/>
      <w:lvlJc w:val="left"/>
      <w:pPr>
        <w:ind w:left="6120" w:hanging="360"/>
      </w:pPr>
      <w:rPr>
        <w:rFonts w:ascii="Wingdings" w:hAnsi="Wingdings" w:hint="default"/>
      </w:rPr>
    </w:lvl>
  </w:abstractNum>
  <w:abstractNum w:abstractNumId="3" w15:restartNumberingAfterBreak="0">
    <w:nsid w:val="13B12ADC"/>
    <w:multiLevelType w:val="hybridMultilevel"/>
    <w:tmpl w:val="CEFE9368"/>
    <w:lvl w:ilvl="0" w:tplc="93B8A084">
      <w:start w:val="1"/>
      <w:numFmt w:val="bullet"/>
      <w:lvlText w:val=""/>
      <w:lvlPicBulletId w:val="0"/>
      <w:lvlJc w:val="left"/>
      <w:pPr>
        <w:tabs>
          <w:tab w:val="num" w:pos="720"/>
        </w:tabs>
        <w:ind w:left="720" w:hanging="360"/>
      </w:pPr>
      <w:rPr>
        <w:rFonts w:ascii="Symbol" w:hAnsi="Symbol" w:hint="default"/>
      </w:rPr>
    </w:lvl>
    <w:lvl w:ilvl="1" w:tplc="850484AC">
      <w:start w:val="1"/>
      <w:numFmt w:val="bullet"/>
      <w:lvlText w:val=""/>
      <w:lvlPicBulletId w:val="0"/>
      <w:lvlJc w:val="left"/>
      <w:pPr>
        <w:tabs>
          <w:tab w:val="num" w:pos="1440"/>
        </w:tabs>
        <w:ind w:left="1440" w:hanging="360"/>
      </w:pPr>
      <w:rPr>
        <w:rFonts w:ascii="Symbol" w:hAnsi="Symbol" w:hint="default"/>
      </w:rPr>
    </w:lvl>
    <w:lvl w:ilvl="2" w:tplc="613A768E" w:tentative="1">
      <w:start w:val="1"/>
      <w:numFmt w:val="bullet"/>
      <w:lvlText w:val=""/>
      <w:lvlPicBulletId w:val="0"/>
      <w:lvlJc w:val="left"/>
      <w:pPr>
        <w:tabs>
          <w:tab w:val="num" w:pos="2160"/>
        </w:tabs>
        <w:ind w:left="2160" w:hanging="360"/>
      </w:pPr>
      <w:rPr>
        <w:rFonts w:ascii="Symbol" w:hAnsi="Symbol" w:hint="default"/>
      </w:rPr>
    </w:lvl>
    <w:lvl w:ilvl="3" w:tplc="B0C4F4CA" w:tentative="1">
      <w:start w:val="1"/>
      <w:numFmt w:val="bullet"/>
      <w:lvlText w:val=""/>
      <w:lvlPicBulletId w:val="0"/>
      <w:lvlJc w:val="left"/>
      <w:pPr>
        <w:tabs>
          <w:tab w:val="num" w:pos="2880"/>
        </w:tabs>
        <w:ind w:left="2880" w:hanging="360"/>
      </w:pPr>
      <w:rPr>
        <w:rFonts w:ascii="Symbol" w:hAnsi="Symbol" w:hint="default"/>
      </w:rPr>
    </w:lvl>
    <w:lvl w:ilvl="4" w:tplc="93C6A2AE" w:tentative="1">
      <w:start w:val="1"/>
      <w:numFmt w:val="bullet"/>
      <w:lvlText w:val=""/>
      <w:lvlPicBulletId w:val="0"/>
      <w:lvlJc w:val="left"/>
      <w:pPr>
        <w:tabs>
          <w:tab w:val="num" w:pos="3600"/>
        </w:tabs>
        <w:ind w:left="3600" w:hanging="360"/>
      </w:pPr>
      <w:rPr>
        <w:rFonts w:ascii="Symbol" w:hAnsi="Symbol" w:hint="default"/>
      </w:rPr>
    </w:lvl>
    <w:lvl w:ilvl="5" w:tplc="8F2E6544" w:tentative="1">
      <w:start w:val="1"/>
      <w:numFmt w:val="bullet"/>
      <w:lvlText w:val=""/>
      <w:lvlPicBulletId w:val="0"/>
      <w:lvlJc w:val="left"/>
      <w:pPr>
        <w:tabs>
          <w:tab w:val="num" w:pos="4320"/>
        </w:tabs>
        <w:ind w:left="4320" w:hanging="360"/>
      </w:pPr>
      <w:rPr>
        <w:rFonts w:ascii="Symbol" w:hAnsi="Symbol" w:hint="default"/>
      </w:rPr>
    </w:lvl>
    <w:lvl w:ilvl="6" w:tplc="741A9F0E" w:tentative="1">
      <w:start w:val="1"/>
      <w:numFmt w:val="bullet"/>
      <w:lvlText w:val=""/>
      <w:lvlPicBulletId w:val="0"/>
      <w:lvlJc w:val="left"/>
      <w:pPr>
        <w:tabs>
          <w:tab w:val="num" w:pos="5040"/>
        </w:tabs>
        <w:ind w:left="5040" w:hanging="360"/>
      </w:pPr>
      <w:rPr>
        <w:rFonts w:ascii="Symbol" w:hAnsi="Symbol" w:hint="default"/>
      </w:rPr>
    </w:lvl>
    <w:lvl w:ilvl="7" w:tplc="46685836" w:tentative="1">
      <w:start w:val="1"/>
      <w:numFmt w:val="bullet"/>
      <w:lvlText w:val=""/>
      <w:lvlPicBulletId w:val="0"/>
      <w:lvlJc w:val="left"/>
      <w:pPr>
        <w:tabs>
          <w:tab w:val="num" w:pos="5760"/>
        </w:tabs>
        <w:ind w:left="5760" w:hanging="360"/>
      </w:pPr>
      <w:rPr>
        <w:rFonts w:ascii="Symbol" w:hAnsi="Symbol" w:hint="default"/>
      </w:rPr>
    </w:lvl>
    <w:lvl w:ilvl="8" w:tplc="A5D44356" w:tentative="1">
      <w:start w:val="1"/>
      <w:numFmt w:val="bullet"/>
      <w:lvlText w:val=""/>
      <w:lvlPicBulletId w:val="0"/>
      <w:lvlJc w:val="left"/>
      <w:pPr>
        <w:tabs>
          <w:tab w:val="num" w:pos="6480"/>
        </w:tabs>
        <w:ind w:left="6480" w:hanging="360"/>
      </w:pPr>
      <w:rPr>
        <w:rFonts w:ascii="Symbol" w:hAnsi="Symbol" w:hint="default"/>
      </w:rPr>
    </w:lvl>
  </w:abstractNum>
  <w:num w:numId="1" w16cid:durableId="1722485266">
    <w:abstractNumId w:val="1"/>
  </w:num>
  <w:num w:numId="2" w16cid:durableId="1974091438">
    <w:abstractNumId w:val="2"/>
  </w:num>
  <w:num w:numId="3" w16cid:durableId="1774474775">
    <w:abstractNumId w:val="3"/>
  </w:num>
  <w:num w:numId="4" w16cid:durableId="199048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3"/>
  <w:hyphenationZone w:val="454"/>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9DC"/>
    <w:rsid w:val="000541E0"/>
    <w:rsid w:val="002A2A9E"/>
    <w:rsid w:val="002D5445"/>
    <w:rsid w:val="00422B7A"/>
    <w:rsid w:val="005A7E41"/>
    <w:rsid w:val="006E2F4A"/>
    <w:rsid w:val="00735D93"/>
    <w:rsid w:val="00745AC9"/>
    <w:rsid w:val="00754667"/>
    <w:rsid w:val="00761E98"/>
    <w:rsid w:val="007C2E0B"/>
    <w:rsid w:val="007C356A"/>
    <w:rsid w:val="00847E32"/>
    <w:rsid w:val="008E420C"/>
    <w:rsid w:val="008F082E"/>
    <w:rsid w:val="00B57A92"/>
    <w:rsid w:val="00BA1D0C"/>
    <w:rsid w:val="00C412F1"/>
    <w:rsid w:val="00C66F9D"/>
    <w:rsid w:val="00CB06C4"/>
    <w:rsid w:val="00CC6190"/>
    <w:rsid w:val="00CD6918"/>
    <w:rsid w:val="00D33068"/>
    <w:rsid w:val="00D5149F"/>
    <w:rsid w:val="00E319F9"/>
    <w:rsid w:val="00E873EA"/>
    <w:rsid w:val="00EC6B64"/>
    <w:rsid w:val="00F05259"/>
    <w:rsid w:val="00F559DC"/>
    <w:rsid w:val="00F67DAD"/>
    <w:rsid w:val="00F72CB0"/>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96120"/>
  <w15:chartTrackingRefBased/>
  <w15:docId w15:val="{7066E704-C290-4F12-92E2-555D887B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360" w:line="360" w:lineRule="auto"/>
    </w:pPr>
    <w:rPr>
      <w:rFonts w:ascii="Arial" w:hAnsi="Arial"/>
      <w:color w:val="000000"/>
      <w:sz w:val="24"/>
      <w:szCs w:val="24"/>
      <w:lang w:eastAsia="en-US"/>
    </w:rPr>
  </w:style>
  <w:style w:type="paragraph" w:styleId="berschrift1">
    <w:name w:val="heading 1"/>
    <w:basedOn w:val="Standard"/>
    <w:next w:val="Standard"/>
    <w:qFormat/>
    <w:pPr>
      <w:widowControl w:val="0"/>
      <w:spacing w:before="120" w:after="240" w:line="240" w:lineRule="auto"/>
      <w:outlineLvl w:val="0"/>
    </w:pPr>
    <w:rPr>
      <w:rFonts w:cs="Arial"/>
      <w:b/>
      <w:bCs/>
      <w:kern w:val="32"/>
      <w:sz w:val="36"/>
      <w:szCs w:val="32"/>
    </w:rPr>
  </w:style>
  <w:style w:type="paragraph" w:styleId="berschrift2">
    <w:name w:val="heading 2"/>
    <w:basedOn w:val="Standard"/>
    <w:next w:val="Standard"/>
    <w:qFormat/>
    <w:pPr>
      <w:keepNext/>
      <w:spacing w:before="240" w:line="240" w:lineRule="auto"/>
      <w:outlineLvl w:val="1"/>
    </w:pPr>
    <w:rPr>
      <w:rFonts w:cs="Arial"/>
      <w:b/>
      <w:bCs/>
      <w:i/>
      <w:iCs/>
    </w:rPr>
  </w:style>
  <w:style w:type="paragraph" w:styleId="berschrift3">
    <w:name w:val="heading 3"/>
    <w:basedOn w:val="Standard"/>
    <w:next w:val="Standard"/>
    <w:link w:val="berschrift3Zchn"/>
    <w:uiPriority w:val="9"/>
    <w:semiHidden/>
    <w:unhideWhenUsed/>
    <w:qFormat/>
    <w:pPr>
      <w:keepNext/>
      <w:spacing w:before="240" w:after="60"/>
      <w:outlineLvl w:val="2"/>
    </w:pPr>
    <w:rPr>
      <w:rFonts w:ascii="Calibri Light"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ssemitteilung">
    <w:name w:val="Pressemitteilung"/>
    <w:basedOn w:val="Standard"/>
    <w:next w:val="Standard"/>
    <w:rPr>
      <w:b/>
      <w:sz w:val="48"/>
    </w:rPr>
  </w:style>
  <w:style w:type="character" w:styleId="Hyperlink">
    <w:name w:val="Hyperlink"/>
    <w:rPr>
      <w:color w:val="0000FF"/>
      <w:u w:val="single"/>
    </w:rPr>
  </w:style>
  <w:style w:type="paragraph" w:customStyle="1" w:styleId="Bildunterschrift">
    <w:name w:val="Bildunterschrift"/>
    <w:basedOn w:val="Standard"/>
    <w:pPr>
      <w:spacing w:before="120" w:line="240" w:lineRule="auto"/>
    </w:pPr>
    <w:rPr>
      <w:i/>
    </w:rPr>
  </w:style>
  <w:style w:type="paragraph" w:styleId="Kopfzeile">
    <w:name w:val="header"/>
    <w:basedOn w:val="Standard"/>
    <w:link w:val="KopfzeileZchn"/>
    <w:pPr>
      <w:pBdr>
        <w:bottom w:val="single" w:sz="4" w:space="1" w:color="auto"/>
      </w:pBdr>
      <w:tabs>
        <w:tab w:val="center" w:pos="4536"/>
        <w:tab w:val="right" w:pos="9072"/>
      </w:tabs>
      <w:spacing w:before="0" w:line="240" w:lineRule="auto"/>
      <w:jc w:val="center"/>
    </w:pPr>
    <w:rPr>
      <w:sz w:val="18"/>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Default">
    <w:name w:val="Default"/>
    <w:pPr>
      <w:autoSpaceDE w:val="0"/>
      <w:autoSpaceDN w:val="0"/>
      <w:adjustRightInd w:val="0"/>
    </w:pPr>
    <w:rPr>
      <w:rFonts w:ascii="Arial" w:hAnsi="Arial" w:cs="Arial"/>
      <w:color w:val="000000"/>
      <w:sz w:val="24"/>
      <w:szCs w:val="24"/>
    </w:rPr>
  </w:style>
  <w:style w:type="table" w:customStyle="1" w:styleId="Tabellengitternetz">
    <w:name w:val="Tabellengitternetz"/>
    <w:basedOn w:val="NormaleTabelle"/>
    <w:pPr>
      <w:spacing w:before="36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uiPriority w:val="9"/>
    <w:semiHidden/>
    <w:rPr>
      <w:rFonts w:ascii="Calibri Light" w:eastAsia="Times New Roman" w:hAnsi="Calibri Light" w:cs="Times New Roman"/>
      <w:b/>
      <w:bCs/>
      <w:color w:val="000000"/>
      <w:sz w:val="26"/>
      <w:szCs w:val="26"/>
      <w:lang w:eastAsia="en-US"/>
    </w:rPr>
  </w:style>
  <w:style w:type="character" w:customStyle="1" w:styleId="KopfzeileZchn">
    <w:name w:val="Kopfzeile Zchn"/>
    <w:link w:val="Kopfzeile"/>
    <w:rPr>
      <w:rFonts w:ascii="Arial" w:hAnsi="Arial"/>
      <w:color w:val="000000"/>
      <w:sz w:val="18"/>
      <w:szCs w:val="24"/>
      <w:lang w:eastAsia="en-US"/>
    </w:rPr>
  </w:style>
  <w:style w:type="paragraph" w:styleId="Sprechblasentext">
    <w:name w:val="Balloon Text"/>
    <w:basedOn w:val="Standard"/>
    <w:link w:val="SprechblasentextZchn"/>
    <w:uiPriority w:val="99"/>
    <w:semiHidden/>
    <w:unhideWhenUsed/>
    <w:pPr>
      <w:spacing w:before="0" w:line="240" w:lineRule="auto"/>
    </w:pPr>
    <w:rPr>
      <w:rFonts w:ascii="Segoe UI" w:hAnsi="Segoe UI" w:cs="Segoe UI"/>
      <w:sz w:val="18"/>
      <w:szCs w:val="18"/>
    </w:rPr>
  </w:style>
  <w:style w:type="character" w:customStyle="1" w:styleId="SprechblasentextZchn">
    <w:name w:val="Sprechblasentext Zchn"/>
    <w:link w:val="Sprechblasentext"/>
    <w:uiPriority w:val="99"/>
    <w:semiHidden/>
    <w:rPr>
      <w:rFonts w:ascii="Segoe UI" w:hAnsi="Segoe UI" w:cs="Segoe UI"/>
      <w:color w:val="000000"/>
      <w:sz w:val="18"/>
      <w:szCs w:val="18"/>
      <w:lang w:eastAsia="en-US"/>
    </w:rPr>
  </w:style>
  <w:style w:type="character" w:styleId="Hervorhebung">
    <w:name w:val="Emphasis"/>
    <w:uiPriority w:val="20"/>
    <w:qFormat/>
    <w:rPr>
      <w:i/>
      <w:iCs/>
    </w:rPr>
  </w:style>
  <w:style w:type="paragraph" w:styleId="StandardWeb">
    <w:name w:val="Normal (Web)"/>
    <w:basedOn w:val="Standard"/>
    <w:uiPriority w:val="99"/>
    <w:unhideWhenUsed/>
    <w:pPr>
      <w:spacing w:before="0" w:after="100" w:afterAutospacing="1" w:line="240" w:lineRule="auto"/>
    </w:pPr>
    <w:rPr>
      <w:rFonts w:ascii="Times New Roman" w:hAnsi="Times New Roman"/>
      <w:color w:val="auto"/>
      <w:lang w:eastAsia="de-D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color w:val="000000"/>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color w:val="000000"/>
      <w:lang w:eastAsia="en-US"/>
    </w:rPr>
  </w:style>
  <w:style w:type="paragraph" w:styleId="berarbeitung">
    <w:name w:val="Revision"/>
    <w:hidden/>
    <w:uiPriority w:val="99"/>
    <w:semiHidden/>
    <w:rPr>
      <w:rFonts w:ascii="Arial" w:hAnsi="Arial"/>
      <w:color w:val="000000"/>
      <w:sz w:val="24"/>
      <w:szCs w:val="24"/>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konsens.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D87F0-31AB-48D4-9F78-A4536351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3572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KONSENS</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BW</dc:creator>
  <cp:lastModifiedBy>Jörg Wolters</cp:lastModifiedBy>
  <cp:revision>3</cp:revision>
  <cp:lastPrinted>2009-03-23T15:46:00Z</cp:lastPrinted>
  <dcterms:created xsi:type="dcterms:W3CDTF">2026-07-31T13:14:00Z</dcterms:created>
  <dcterms:modified xsi:type="dcterms:W3CDTF">2026-07-31T13:18:00Z</dcterms:modified>
</cp:coreProperties>
</file>