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920A" w14:textId="36B36004" w:rsidR="00D84EAE" w:rsidRPr="0057311D" w:rsidRDefault="00A259FF" w:rsidP="0057311D">
      <w:pPr>
        <w:pStyle w:val="berschrift1"/>
        <w:spacing w:before="450" w:after="300" w:line="420" w:lineRule="atLeast"/>
        <w:textAlignment w:val="baseline"/>
        <w:rPr>
          <w:rFonts w:ascii="Electrolize" w:hAnsi="Electrolize"/>
          <w:bCs w:val="0"/>
          <w:color w:val="E3012C"/>
          <w:sz w:val="32"/>
          <w:szCs w:val="32"/>
        </w:rPr>
      </w:pPr>
      <w:r>
        <w:rPr>
          <w:rFonts w:ascii="Electrolize" w:hAnsi="Electrolize"/>
          <w:color w:val="E3012C"/>
          <w:sz w:val="32"/>
        </w:rPr>
        <w:t>Los copolímeros de cicloolefina TOPAS</w:t>
      </w:r>
      <w:r>
        <w:rPr>
          <w:rFonts w:ascii="Electrolize" w:hAnsi="Electrolize"/>
          <w:color w:val="E3012C"/>
          <w:sz w:val="32"/>
          <w:vertAlign w:val="superscript"/>
        </w:rPr>
        <w:t>®</w:t>
      </w:r>
      <w:r>
        <w:rPr>
          <w:rFonts w:ascii="Electrolize" w:hAnsi="Electrolize"/>
          <w:color w:val="E3012C"/>
          <w:sz w:val="32"/>
        </w:rPr>
        <w:t xml:space="preserve"> (COC) obtienen nuevas certificaciones como material </w:t>
      </w:r>
      <w:r w:rsidR="002E6C13">
        <w:rPr>
          <w:rFonts w:ascii="Electrolize" w:hAnsi="Electrolize"/>
          <w:color w:val="E3012C"/>
          <w:sz w:val="32"/>
        </w:rPr>
        <w:t>apropriado</w:t>
      </w:r>
      <w:r>
        <w:rPr>
          <w:rFonts w:ascii="Electrolize" w:hAnsi="Electrolize"/>
          <w:color w:val="E3012C"/>
          <w:sz w:val="32"/>
        </w:rPr>
        <w:t xml:space="preserve"> en el flujo de reciclaje</w:t>
      </w:r>
    </w:p>
    <w:tbl>
      <w:tblPr>
        <w:tblW w:w="0" w:type="auto"/>
        <w:tblLayout w:type="fixed"/>
        <w:tblLook w:val="04A0" w:firstRow="1" w:lastRow="0" w:firstColumn="1" w:lastColumn="0" w:noHBand="0" w:noVBand="1"/>
      </w:tblPr>
      <w:tblGrid>
        <w:gridCol w:w="6062"/>
        <w:gridCol w:w="3227"/>
      </w:tblGrid>
      <w:tr w:rsidR="009C67C5" w:rsidRPr="007006F7" w14:paraId="3EFD0F43" w14:textId="54227A08" w:rsidTr="009C67C5">
        <w:tc>
          <w:tcPr>
            <w:tcW w:w="6062" w:type="dxa"/>
            <w:vAlign w:val="bottom"/>
            <w:hideMark/>
          </w:tcPr>
          <w:p w14:paraId="7B77D396" w14:textId="44AC4E22" w:rsidR="009C67C5" w:rsidRPr="007006F7" w:rsidRDefault="00825339" w:rsidP="009C67C5">
            <w:pPr>
              <w:autoSpaceDE w:val="0"/>
              <w:autoSpaceDN w:val="0"/>
              <w:adjustRightInd w:val="0"/>
              <w:spacing w:line="240" w:lineRule="auto"/>
              <w:rPr>
                <w:rFonts w:ascii="Verdana" w:eastAsia="MS Mincho" w:hAnsi="Verdana" w:cs="Arial"/>
                <w:i/>
                <w:sz w:val="20"/>
                <w:szCs w:val="20"/>
              </w:rPr>
            </w:pPr>
            <w:r>
              <w:rPr>
                <w:rFonts w:ascii="Verdana" w:hAnsi="Verdana"/>
                <w:i/>
                <w:noProof/>
                <w:sz w:val="20"/>
                <w:lang w:val="de-DE" w:eastAsia="de-DE"/>
              </w:rPr>
              <w:drawing>
                <wp:inline distT="0" distB="0" distL="0" distR="0" wp14:anchorId="213E4F89" wp14:editId="3464A081">
                  <wp:extent cx="3712210" cy="31343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76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210" cy="3134360"/>
                          </a:xfrm>
                          <a:prstGeom prst="rect">
                            <a:avLst/>
                          </a:prstGeom>
                        </pic:spPr>
                      </pic:pic>
                    </a:graphicData>
                  </a:graphic>
                </wp:inline>
              </w:drawing>
            </w:r>
          </w:p>
        </w:tc>
        <w:tc>
          <w:tcPr>
            <w:tcW w:w="3227" w:type="dxa"/>
            <w:vAlign w:val="bottom"/>
          </w:tcPr>
          <w:p w14:paraId="49B057B4" w14:textId="70CB2551" w:rsidR="009C67C5" w:rsidRDefault="009C67C5" w:rsidP="009C67C5">
            <w:pPr>
              <w:autoSpaceDE w:val="0"/>
              <w:autoSpaceDN w:val="0"/>
              <w:adjustRightInd w:val="0"/>
              <w:spacing w:line="240" w:lineRule="auto"/>
              <w:rPr>
                <w:rFonts w:ascii="Verdana" w:eastAsia="MS Mincho" w:hAnsi="Verdana" w:cs="Arial"/>
                <w:i/>
                <w:noProof/>
                <w:sz w:val="20"/>
                <w:szCs w:val="20"/>
              </w:rPr>
            </w:pPr>
            <w:r>
              <w:rPr>
                <w:rFonts w:ascii="Verdana" w:hAnsi="Verdana"/>
                <w:i/>
                <w:color w:val="525252"/>
              </w:rPr>
              <w:t>Las películas multicapa para bolsas de pie que contienen un 15,5 % de copolímero de cicloolefina (COC) TOPAS</w:t>
            </w:r>
            <w:r>
              <w:rPr>
                <w:rFonts w:ascii="Verdana" w:hAnsi="Verdana"/>
                <w:i/>
                <w:color w:val="525252"/>
                <w:vertAlign w:val="superscript"/>
              </w:rPr>
              <w:t>®</w:t>
            </w:r>
            <w:r>
              <w:rPr>
                <w:rFonts w:ascii="Verdana" w:hAnsi="Verdana"/>
                <w:i/>
                <w:color w:val="525252"/>
              </w:rPr>
              <w:t xml:space="preserve"> son apropiadas para el reciclaje en los flujos de residuos de PE, confirma APR</w:t>
            </w:r>
            <w:r>
              <w:rPr>
                <w:rFonts w:ascii="Verdana" w:hAnsi="Verdana"/>
                <w:i/>
                <w:color w:val="525252"/>
                <w:sz w:val="20"/>
              </w:rPr>
              <w:t xml:space="preserve">. </w:t>
            </w:r>
            <w:r>
              <w:rPr>
                <w:rFonts w:ascii="Verdana" w:hAnsi="Verdana"/>
                <w:i/>
                <w:color w:val="525252"/>
                <w:sz w:val="20"/>
              </w:rPr>
              <w:br/>
              <w:t>© PantherMedia/3DMAVR</w:t>
            </w:r>
          </w:p>
        </w:tc>
      </w:tr>
    </w:tbl>
    <w:p w14:paraId="4BBD4F87" w14:textId="33F3B8A9" w:rsidR="00D5536D" w:rsidRPr="002508E0" w:rsidRDefault="00A43CB6" w:rsidP="002508E0">
      <w:pPr>
        <w:spacing w:after="120" w:line="360" w:lineRule="exact"/>
        <w:rPr>
          <w:rFonts w:ascii="Verdana" w:hAnsi="Verdana" w:cs="Arial"/>
        </w:rPr>
      </w:pPr>
      <w:r>
        <w:rPr>
          <w:rFonts w:ascii="Verdana" w:hAnsi="Verdana"/>
        </w:rPr>
        <w:t>Raunheim/Alemania, septiembre de 2021 – Como componente de películas multicapa flexibles para bolsas de pie, los copolímeros de cicloolefina (COC) TOPAS</w:t>
      </w:r>
      <w:r w:rsidRPr="002E6C13">
        <w:rPr>
          <w:rFonts w:ascii="Verdana" w:hAnsi="Verdana"/>
          <w:vertAlign w:val="superscript"/>
        </w:rPr>
        <w:t>®</w:t>
      </w:r>
      <w:r>
        <w:rPr>
          <w:rFonts w:ascii="Verdana" w:hAnsi="Verdana"/>
        </w:rPr>
        <w:t xml:space="preserve"> de TOPAS Advanced Polymers son compatibles con los flujos de reciclaje de películas de polietileno (PE). La </w:t>
      </w:r>
      <w:r w:rsidR="002E6C13">
        <w:rPr>
          <w:rFonts w:ascii="Verdana" w:hAnsi="Verdana"/>
        </w:rPr>
        <w:t>APR (</w:t>
      </w:r>
      <w:r w:rsidR="002E6C13" w:rsidRPr="005E2180">
        <w:rPr>
          <w:rFonts w:ascii="Verdana" w:hAnsi="Verdana" w:cs="Arial"/>
        </w:rPr>
        <w:t>A</w:t>
      </w:r>
      <w:r w:rsidR="002E6C13">
        <w:rPr>
          <w:rFonts w:ascii="Verdana" w:hAnsi="Verdana" w:cs="Arial"/>
        </w:rPr>
        <w:t xml:space="preserve">ssociation of Plastic Recyclers) </w:t>
      </w:r>
      <w:r>
        <w:rPr>
          <w:rFonts w:ascii="Verdana" w:hAnsi="Verdana"/>
        </w:rPr>
        <w:t>ha confirmado esto ahora en forma de un reconocimiento de orientación crítica (Critical Guidance Recognition). Se realizaron pruebas de películas de bolsa de pie que contenían TOPAS</w:t>
      </w:r>
      <w:r>
        <w:rPr>
          <w:rFonts w:ascii="Verdana" w:hAnsi="Verdana"/>
          <w:vertAlign w:val="superscript"/>
        </w:rPr>
        <w:t>®</w:t>
      </w:r>
      <w:r>
        <w:rPr>
          <w:rFonts w:ascii="Verdana" w:hAnsi="Verdana"/>
        </w:rPr>
        <w:t xml:space="preserve"> 9506F-500, 8007F-600, 7010F-600 y 6013F-04 en una proporción del 15,5 %. Cumplen o superan el protocolo de orientación crítica (Critical Guidance Protocol) de la APR para películas de PE y envases flexibles, Path 1 (FPE-CG-01).</w:t>
      </w:r>
    </w:p>
    <w:p w14:paraId="3B9D87B5" w14:textId="640BE8E0" w:rsidR="00D5536D" w:rsidRPr="00D5536D" w:rsidRDefault="00224010" w:rsidP="00D5536D">
      <w:pPr>
        <w:spacing w:after="120" w:line="360" w:lineRule="exact"/>
        <w:rPr>
          <w:rFonts w:ascii="Verdana" w:hAnsi="Verdana" w:cs="Arial"/>
        </w:rPr>
      </w:pPr>
      <w:r>
        <w:rPr>
          <w:rFonts w:ascii="Verdana" w:hAnsi="Verdana"/>
        </w:rPr>
        <w:lastRenderedPageBreak/>
        <w:t>En 2020, la APR ya había realizado pruebas de envases de alto brillo fabricados con PE-HD con una capa exterior del 20% de TOPAS</w:t>
      </w:r>
      <w:r>
        <w:rPr>
          <w:rFonts w:ascii="Verdana" w:hAnsi="Verdana"/>
          <w:vertAlign w:val="superscript"/>
        </w:rPr>
        <w:t>®</w:t>
      </w:r>
      <w:r>
        <w:rPr>
          <w:rFonts w:ascii="Verdana" w:hAnsi="Verdana"/>
        </w:rPr>
        <w:t xml:space="preserve"> 8007F-600 y emitido una confirmación. Además, TOPAS</w:t>
      </w:r>
      <w:r>
        <w:rPr>
          <w:rFonts w:ascii="Verdana" w:hAnsi="Verdana"/>
          <w:vertAlign w:val="superscript"/>
        </w:rPr>
        <w:t>®</w:t>
      </w:r>
      <w:r>
        <w:rPr>
          <w:rFonts w:ascii="Verdana" w:hAnsi="Verdana"/>
        </w:rPr>
        <w:t xml:space="preserve"> COC se ha certificado como poliolefina reciclable según la Iniciativa de Economía Circular de la UE para las vías de reciclaje 1, 3 y 7. </w:t>
      </w:r>
    </w:p>
    <w:p w14:paraId="5F2AC39A" w14:textId="3BB22F81" w:rsidR="006D6DEF" w:rsidRPr="005E2180" w:rsidRDefault="0057311D" w:rsidP="00CF5410">
      <w:pPr>
        <w:spacing w:after="120" w:line="360" w:lineRule="exact"/>
        <w:rPr>
          <w:rFonts w:ascii="Verdana" w:hAnsi="Verdana" w:cs="Arial"/>
        </w:rPr>
      </w:pPr>
      <w:r>
        <w:rPr>
          <w:rFonts w:ascii="Verdana" w:hAnsi="Verdana"/>
        </w:rPr>
        <w:t xml:space="preserve">TOPAS Advanced Polymers y la empresa matriz Polyplastics colaboran con los </w:t>
      </w:r>
      <w:r w:rsidR="00682E72">
        <w:rPr>
          <w:rFonts w:ascii="Verdana" w:hAnsi="Verdana"/>
        </w:rPr>
        <w:t xml:space="preserve">principales </w:t>
      </w:r>
      <w:r>
        <w:rPr>
          <w:rFonts w:ascii="Verdana" w:hAnsi="Verdana"/>
        </w:rPr>
        <w:t>fabricantes y marcas de películas del mundo para desarrollar aplicaciones de envases reciclables. Dr. Dirk Heukelbach, Market Development EMEA de Topas Advanced Polymers, comenta: "Estos marcados en Europa y Estados Unidos son un paso importante para los propietarios de marcas, fabricantes y transformadores que buscan soluciones de envases reciclables. Así, el COC demuestra ser una opción de material muy eficaz que puede utilizarse como componente estratégico para cumplir con los requisitos generales de sostenibilidad de hoy en día."</w:t>
      </w:r>
    </w:p>
    <w:p w14:paraId="2ED693CF" w14:textId="604AC033" w:rsidR="00A43CB6" w:rsidRPr="00D57D68" w:rsidRDefault="00D57D68" w:rsidP="00A43CB6">
      <w:pPr>
        <w:spacing w:before="240" w:after="0" w:line="240" w:lineRule="auto"/>
        <w:rPr>
          <w:rFonts w:ascii="Verdana" w:eastAsia="Times New Roman" w:hAnsi="Verdana"/>
          <w:color w:val="525252"/>
          <w:sz w:val="20"/>
          <w:szCs w:val="20"/>
        </w:rPr>
      </w:pPr>
      <w:r>
        <w:rPr>
          <w:rFonts w:ascii="Verdana" w:hAnsi="Verdana"/>
          <w:color w:val="525252"/>
          <w:sz w:val="20"/>
        </w:rPr>
        <w:t xml:space="preserve">La </w:t>
      </w:r>
      <w:r w:rsidR="002E6C13" w:rsidRPr="002E6C13">
        <w:rPr>
          <w:rFonts w:ascii="Verdana" w:hAnsi="Verdana"/>
          <w:b/>
          <w:color w:val="525252"/>
          <w:sz w:val="20"/>
        </w:rPr>
        <w:t>Association of Plastic Recyclers</w:t>
      </w:r>
      <w:r>
        <w:rPr>
          <w:rFonts w:ascii="Verdana" w:hAnsi="Verdana"/>
          <w:color w:val="525252"/>
          <w:sz w:val="20"/>
        </w:rPr>
        <w:t xml:space="preserve"> (APR</w:t>
      </w:r>
      <w:r w:rsidR="002E6C13">
        <w:rPr>
          <w:rFonts w:ascii="Verdana" w:hAnsi="Verdana"/>
          <w:color w:val="525252"/>
          <w:sz w:val="20"/>
        </w:rPr>
        <w:t>)</w:t>
      </w:r>
      <w:r>
        <w:rPr>
          <w:rFonts w:ascii="Verdana" w:hAnsi="Verdana"/>
          <w:color w:val="525252"/>
          <w:sz w:val="20"/>
        </w:rPr>
        <w:t xml:space="preserve"> es una asociación comercial internacional que representa a la industria del reciclaje de plásticos. Las empresas asociadas de APR están comprometidas con el éxito del reciclaje de plásticos. La afiliación abarca tod</w:t>
      </w:r>
      <w:r w:rsidR="00682E72">
        <w:rPr>
          <w:rFonts w:ascii="Verdana" w:hAnsi="Verdana"/>
          <w:color w:val="525252"/>
          <w:sz w:val="20"/>
        </w:rPr>
        <w:t>o</w:t>
      </w:r>
      <w:r>
        <w:rPr>
          <w:rFonts w:ascii="Verdana" w:hAnsi="Verdana"/>
          <w:color w:val="525252"/>
          <w:sz w:val="20"/>
        </w:rPr>
        <w:t xml:space="preserve"> el sector y, a través de su participación, las empresas asociadas de la APR están configurando el futuro del sector. </w:t>
      </w:r>
      <w:hyperlink r:id="rId10" w:history="1">
        <w:r>
          <w:rPr>
            <w:rStyle w:val="Hyperlink"/>
            <w:rFonts w:ascii="Verdana" w:hAnsi="Verdana"/>
            <w:sz w:val="20"/>
          </w:rPr>
          <w:t>www.plasticsrecycling.org</w:t>
        </w:r>
      </w:hyperlink>
      <w:r>
        <w:rPr>
          <w:rFonts w:ascii="Verdana" w:hAnsi="Verdana"/>
          <w:color w:val="525252"/>
          <w:sz w:val="20"/>
        </w:rPr>
        <w:t>.</w:t>
      </w:r>
    </w:p>
    <w:p w14:paraId="78F131A8" w14:textId="0FF53E15" w:rsidR="00D57D68" w:rsidRPr="00D57D68" w:rsidRDefault="00A43CB6" w:rsidP="00D57D68">
      <w:pPr>
        <w:spacing w:before="240" w:after="0" w:line="240" w:lineRule="auto"/>
        <w:rPr>
          <w:rFonts w:ascii="Verdana" w:eastAsia="Times New Roman" w:hAnsi="Verdana"/>
          <w:color w:val="525252"/>
          <w:sz w:val="20"/>
          <w:szCs w:val="20"/>
        </w:rPr>
      </w:pPr>
      <w:r>
        <w:rPr>
          <w:rFonts w:ascii="Verdana" w:hAnsi="Verdana"/>
          <w:b/>
          <w:color w:val="525252"/>
          <w:sz w:val="20"/>
        </w:rPr>
        <w:t>TOPAS Advanced Polymers</w:t>
      </w:r>
      <w:r>
        <w:rPr>
          <w:rFonts w:ascii="Verdana" w:hAnsi="Verdana"/>
          <w:color w:val="525252"/>
          <w:sz w:val="20"/>
        </w:rPr>
        <w:t xml:space="preserve"> es el fabricante líder mundial de COC (copolímeros de cicloolefina), un plástico claro como el agua y extremadamente puro para aplicaciones en el sector sanitario, la industria óptica, la industria del envasado y la electrónica. Desde las películas para la administración de insulina, para el contacto con alimentos, hasta los componentes para tabletas y teléfonos inteligentes, los TOPAS</w:t>
      </w:r>
      <w:r>
        <w:rPr>
          <w:rFonts w:ascii="Verdana" w:hAnsi="Verdana"/>
          <w:color w:val="525252"/>
          <w:sz w:val="20"/>
          <w:vertAlign w:val="superscript"/>
        </w:rPr>
        <w:t>®</w:t>
      </w:r>
      <w:r>
        <w:rPr>
          <w:rFonts w:ascii="Verdana" w:hAnsi="Verdana"/>
          <w:color w:val="525252"/>
          <w:sz w:val="20"/>
        </w:rPr>
        <w:t xml:space="preserve"> COC son un material de alto rendimiento de elección. Al mismo tiempo, la amplia conformidad a nivel mundial de TOPAS</w:t>
      </w:r>
      <w:r>
        <w:rPr>
          <w:rFonts w:ascii="Verdana" w:hAnsi="Verdana"/>
          <w:color w:val="525252"/>
          <w:sz w:val="20"/>
          <w:vertAlign w:val="superscript"/>
        </w:rPr>
        <w:t>®</w:t>
      </w:r>
      <w:r>
        <w:rPr>
          <w:rFonts w:ascii="Verdana" w:hAnsi="Verdana"/>
          <w:color w:val="525252"/>
          <w:sz w:val="20"/>
        </w:rPr>
        <w:t xml:space="preserve"> COC con la normativa legal facilita nuevos desarrollos.</w:t>
      </w:r>
    </w:p>
    <w:p w14:paraId="580AE27B" w14:textId="77777777" w:rsidR="008215AD" w:rsidRPr="008215AD" w:rsidRDefault="00A43CB6" w:rsidP="008215AD">
      <w:pPr>
        <w:spacing w:before="240" w:after="0" w:line="240" w:lineRule="auto"/>
        <w:rPr>
          <w:rFonts w:ascii="Verdana" w:eastAsia="Times New Roman" w:hAnsi="Verdana"/>
          <w:color w:val="525252"/>
          <w:sz w:val="20"/>
          <w:szCs w:val="20"/>
        </w:rPr>
      </w:pPr>
      <w:r>
        <w:rPr>
          <w:rFonts w:ascii="Verdana" w:hAnsi="Verdana"/>
          <w:b/>
          <w:color w:val="525252"/>
          <w:sz w:val="20"/>
        </w:rPr>
        <w:t>TOPAS Advanced Polymers</w:t>
      </w:r>
      <w:r>
        <w:rPr>
          <w:rFonts w:ascii="Verdana" w:hAnsi="Verdana"/>
          <w:color w:val="525252"/>
          <w:sz w:val="20"/>
        </w:rPr>
        <w:t xml:space="preserve"> es una división de </w:t>
      </w:r>
      <w:r>
        <w:rPr>
          <w:rFonts w:ascii="Verdana" w:hAnsi="Verdana"/>
          <w:b/>
          <w:color w:val="525252"/>
          <w:sz w:val="20"/>
        </w:rPr>
        <w:t>Polyplastics Co, Ltd</w:t>
      </w:r>
      <w:r>
        <w:rPr>
          <w:rFonts w:ascii="Verdana" w:hAnsi="Verdana"/>
          <w:color w:val="525252"/>
          <w:sz w:val="20"/>
        </w:rPr>
        <w:t>, líder mundial en el desarrollo y la producción de termoplásticos técnicos. Además de los COC, la amplia cartera de productos incluye también POM, PPS, PBT y LCP. La empresa tiene la mayor cuota de mercado del mundo en POM, LCP y COC. Con más de 50 años de experiencia, cuenta con una sólida red mundial de recursos de I+D, fabricación y distribución, capaz de desarrollar soluciones avanzadas para un mercado global en constante evolución.</w:t>
      </w:r>
    </w:p>
    <w:p w14:paraId="349F6A9E" w14:textId="56F3BE47" w:rsidR="00A43CB6" w:rsidRPr="008215AD" w:rsidRDefault="00A43CB6" w:rsidP="00A43CB6">
      <w:pPr>
        <w:spacing w:before="240" w:after="0" w:line="240" w:lineRule="auto"/>
        <w:rPr>
          <w:rFonts w:ascii="Verdana" w:eastAsia="Times New Roman" w:hAnsi="Verdana"/>
          <w:color w:val="525252"/>
          <w:sz w:val="20"/>
          <w:szCs w:val="20"/>
        </w:rPr>
      </w:pPr>
      <w:r>
        <w:rPr>
          <w:rFonts w:ascii="Verdana" w:hAnsi="Verdana"/>
          <w:b/>
          <w:color w:val="525252"/>
          <w:sz w:val="20"/>
        </w:rPr>
        <w:t>TOPAS®</w:t>
      </w:r>
      <w:r>
        <w:rPr>
          <w:rFonts w:ascii="Verdana" w:hAnsi="Verdana"/>
          <w:color w:val="525252"/>
          <w:sz w:val="20"/>
        </w:rPr>
        <w:t xml:space="preserve"> es una marca comercial de </w:t>
      </w:r>
      <w:r>
        <w:rPr>
          <w:rFonts w:ascii="Verdana" w:hAnsi="Verdana"/>
          <w:b/>
          <w:color w:val="525252"/>
          <w:sz w:val="20"/>
        </w:rPr>
        <w:t xml:space="preserve">TOPAS Advanced Polymers GmbH </w:t>
      </w:r>
      <w:r>
        <w:rPr>
          <w:rFonts w:ascii="Verdana" w:hAnsi="Verdana"/>
          <w:color w:val="525252"/>
          <w:sz w:val="20"/>
        </w:rPr>
        <w:t>para su familia de copolímeros de cicloolefina (COC) en Alemania, Estados Unidos y otros países.</w:t>
      </w:r>
    </w:p>
    <w:p w14:paraId="62C9F262" w14:textId="77777777" w:rsidR="00994AF2" w:rsidRPr="004B2E77" w:rsidRDefault="00994AF2" w:rsidP="00A43CB6">
      <w:pPr>
        <w:spacing w:before="240" w:after="0" w:line="240" w:lineRule="auto"/>
        <w:rPr>
          <w:rFonts w:ascii="Electrolize" w:eastAsia="MS Mincho" w:hAnsi="Electrolize" w:cs="Arial"/>
          <w:b/>
          <w:noProof/>
          <w:color w:val="000000"/>
          <w:sz w:val="24"/>
          <w:szCs w:val="24"/>
          <w:u w:val="single"/>
        </w:rPr>
      </w:pPr>
      <w:r>
        <w:rPr>
          <w:rFonts w:ascii="Electrolize" w:hAnsi="Electrolize"/>
          <w:b/>
          <w:color w:val="000000"/>
          <w:sz w:val="24"/>
          <w:u w:val="single"/>
        </w:rPr>
        <w:t>Contacto con la redacción y ejemplares justificativos:</w:t>
      </w:r>
    </w:p>
    <w:p w14:paraId="78648246" w14:textId="77777777" w:rsidR="00994AF2" w:rsidRPr="004A2029" w:rsidRDefault="00994AF2" w:rsidP="00994AF2">
      <w:pPr>
        <w:spacing w:after="0" w:line="240" w:lineRule="auto"/>
        <w:rPr>
          <w:rFonts w:ascii="Verdana" w:eastAsia="MS Mincho" w:hAnsi="Verdana" w:cs="Arial"/>
          <w:noProof/>
          <w:color w:val="000000"/>
          <w:sz w:val="20"/>
          <w:szCs w:val="20"/>
        </w:rPr>
      </w:pPr>
      <w:r>
        <w:rPr>
          <w:rFonts w:ascii="Verdana" w:hAnsi="Verdana"/>
          <w:color w:val="000000"/>
          <w:sz w:val="20"/>
        </w:rPr>
        <w:t xml:space="preserve">Dr.-Ing. Jörg Wolters, Konsens PR GmbH &amp; Co. KG, </w:t>
      </w:r>
    </w:p>
    <w:p w14:paraId="42E6AE1E" w14:textId="0806FD72" w:rsidR="00994AF2" w:rsidRPr="00340744" w:rsidRDefault="00BA5023" w:rsidP="00994AF2">
      <w:pPr>
        <w:spacing w:after="0" w:line="240" w:lineRule="auto"/>
        <w:rPr>
          <w:rFonts w:ascii="Verdana" w:eastAsia="MS Mincho" w:hAnsi="Verdana" w:cs="Arial"/>
          <w:noProof/>
          <w:color w:val="000000"/>
          <w:sz w:val="20"/>
          <w:szCs w:val="20"/>
          <w:lang w:val="de-DE"/>
        </w:rPr>
      </w:pPr>
      <w:r>
        <w:rPr>
          <w:rFonts w:ascii="Verdana" w:hAnsi="Verdana"/>
          <w:color w:val="000000"/>
          <w:sz w:val="20"/>
          <w:lang w:val="de-DE"/>
        </w:rPr>
        <w:t>Im Kühlen Grund 10</w:t>
      </w:r>
      <w:bookmarkStart w:id="0" w:name="_GoBack"/>
      <w:bookmarkEnd w:id="0"/>
      <w:r w:rsidR="00994AF2" w:rsidRPr="00340744">
        <w:rPr>
          <w:rFonts w:ascii="Verdana" w:hAnsi="Verdana"/>
          <w:color w:val="000000"/>
          <w:sz w:val="20"/>
          <w:lang w:val="de-DE"/>
        </w:rPr>
        <w:t>, D-64823 Groß-Umstadt – www.konsens.de</w:t>
      </w:r>
    </w:p>
    <w:p w14:paraId="26B283F3" w14:textId="39A6E6D0" w:rsidR="00994AF2" w:rsidRPr="00A43CB6" w:rsidRDefault="00994AF2" w:rsidP="00DB4704">
      <w:pPr>
        <w:spacing w:after="240" w:line="240" w:lineRule="auto"/>
        <w:rPr>
          <w:rFonts w:ascii="Verdana" w:eastAsia="MS Mincho" w:hAnsi="Verdana" w:cs="Arial"/>
          <w:noProof/>
          <w:color w:val="000000"/>
          <w:sz w:val="20"/>
          <w:szCs w:val="20"/>
        </w:rPr>
      </w:pPr>
      <w:r>
        <w:rPr>
          <w:rFonts w:ascii="Verdana" w:hAnsi="Verdana"/>
          <w:color w:val="000000"/>
          <w:sz w:val="20"/>
        </w:rPr>
        <w:t xml:space="preserve">Tel.: +49 (0) 60 78 / 93 63 - 13, Correo electrónico: </w:t>
      </w:r>
      <w:hyperlink r:id="rId11" w:history="1">
        <w:r>
          <w:rPr>
            <w:rStyle w:val="Hyperlink"/>
            <w:rFonts w:ascii="Verdana" w:hAnsi="Verdana"/>
            <w:sz w:val="20"/>
          </w:rPr>
          <w:t>mail@konsens.de</w:t>
        </w:r>
      </w:hyperlink>
    </w:p>
    <w:sectPr w:rsidR="00994AF2" w:rsidRPr="00A43CB6" w:rsidSect="00B65258">
      <w:headerReference w:type="default" r:id="rId12"/>
      <w:footerReference w:type="default" r:id="rId13"/>
      <w:headerReference w:type="first" r:id="rId14"/>
      <w:footerReference w:type="first" r:id="rId15"/>
      <w:pgSz w:w="11906" w:h="16838"/>
      <w:pgMar w:top="2093" w:right="1416" w:bottom="1135" w:left="1417" w:header="709" w:footer="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A28C" w14:textId="77777777" w:rsidR="006554FC" w:rsidRDefault="006554FC" w:rsidP="00995D5B">
      <w:pPr>
        <w:spacing w:after="0" w:line="240" w:lineRule="auto"/>
      </w:pPr>
      <w:r>
        <w:separator/>
      </w:r>
    </w:p>
  </w:endnote>
  <w:endnote w:type="continuationSeparator" w:id="0">
    <w:p w14:paraId="62D09631" w14:textId="77777777" w:rsidR="006554FC" w:rsidRDefault="006554FC"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ctrolize">
    <w:altName w:val="Times New Roman"/>
    <w:panose1 w:val="02000506000000020004"/>
    <w:charset w:val="00"/>
    <w:family w:val="auto"/>
    <w:pitch w:val="variable"/>
    <w:sig w:usb0="80000027" w:usb1="00000043"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4053" w14:textId="77777777" w:rsidR="00B65258" w:rsidRPr="00340744" w:rsidRDefault="00B65258" w:rsidP="00B65258">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US"/>
      </w:rPr>
    </w:pPr>
    <w:r>
      <w:rPr>
        <w:rStyle w:val="Seitenzahl"/>
        <w:rFonts w:ascii="Arial" w:hAnsi="Arial"/>
        <w:sz w:val="20"/>
        <w:u w:val="single"/>
      </w:rPr>
      <w:tab/>
    </w:r>
    <w:r w:rsidRPr="00340744">
      <w:rPr>
        <w:rFonts w:ascii="Verdana" w:hAnsi="Verdana"/>
        <w:color w:val="000000"/>
        <w:sz w:val="20"/>
        <w:lang w:val="en-US"/>
      </w:rPr>
      <w:t>Página </w:t>
    </w:r>
    <w:r w:rsidRPr="00B65258">
      <w:rPr>
        <w:rStyle w:val="Seitenzahl"/>
        <w:rFonts w:ascii="Verdana" w:hAnsi="Verdana" w:cs="Arial"/>
        <w:sz w:val="20"/>
      </w:rPr>
      <w:fldChar w:fldCharType="begin"/>
    </w:r>
    <w:r w:rsidRPr="00340744">
      <w:rPr>
        <w:rStyle w:val="Seitenzahl"/>
        <w:rFonts w:ascii="Verdana" w:hAnsi="Verdana" w:cs="Arial"/>
        <w:sz w:val="20"/>
        <w:lang w:val="en-US"/>
      </w:rPr>
      <w:instrText xml:space="preserve"> PAGE </w:instrText>
    </w:r>
    <w:r w:rsidRPr="00B65258">
      <w:rPr>
        <w:rStyle w:val="Seitenzahl"/>
        <w:rFonts w:ascii="Verdana" w:hAnsi="Verdana" w:cs="Arial"/>
        <w:sz w:val="20"/>
      </w:rPr>
      <w:fldChar w:fldCharType="separate"/>
    </w:r>
    <w:r w:rsidR="00BA5023">
      <w:rPr>
        <w:rStyle w:val="Seitenzahl"/>
        <w:rFonts w:ascii="Verdana" w:hAnsi="Verdana" w:cs="Arial"/>
        <w:noProof/>
        <w:sz w:val="20"/>
        <w:lang w:val="en-US"/>
      </w:rPr>
      <w:t>2</w:t>
    </w:r>
    <w:r w:rsidRPr="00B65258">
      <w:rPr>
        <w:rStyle w:val="Seitenzahl"/>
        <w:rFonts w:ascii="Verdana" w:hAnsi="Verdana" w:cs="Arial"/>
        <w:sz w:val="20"/>
      </w:rPr>
      <w:fldChar w:fldCharType="end"/>
    </w:r>
    <w:r w:rsidRPr="00340744">
      <w:rPr>
        <w:rStyle w:val="Seitenzahl"/>
        <w:rFonts w:ascii="Verdana" w:hAnsi="Verdana"/>
        <w:sz w:val="20"/>
        <w:lang w:val="en-US"/>
      </w:rPr>
      <w:t xml:space="preserve"> de </w:t>
    </w:r>
    <w:r w:rsidRPr="00B65258">
      <w:fldChar w:fldCharType="begin"/>
    </w:r>
    <w:r w:rsidRPr="00340744">
      <w:rPr>
        <w:rFonts w:ascii="Verdana" w:hAnsi="Verdana"/>
        <w:lang w:val="en-US"/>
      </w:rPr>
      <w:instrText xml:space="preserve"> NUMPAGES   \* MERGEFORMAT </w:instrText>
    </w:r>
    <w:r w:rsidRPr="00B65258">
      <w:fldChar w:fldCharType="separate"/>
    </w:r>
    <w:r w:rsidR="00BA5023" w:rsidRPr="00BA5023">
      <w:rPr>
        <w:rStyle w:val="Seitenzahl"/>
        <w:rFonts w:cs="Arial"/>
        <w:noProof/>
        <w:sz w:val="20"/>
      </w:rPr>
      <w:t>2</w:t>
    </w:r>
    <w:r w:rsidRPr="00B65258">
      <w:rPr>
        <w:rStyle w:val="Seitenzahl"/>
        <w:rFonts w:ascii="Verdana" w:hAnsi="Verdana" w:cs="Arial"/>
        <w:sz w:val="20"/>
      </w:rPr>
      <w:fldChar w:fldCharType="end"/>
    </w:r>
    <w:r w:rsidRPr="00340744">
      <w:rPr>
        <w:rStyle w:val="Seitenzahl"/>
        <w:rFonts w:ascii="Verdana" w:hAnsi="Verdana"/>
        <w:sz w:val="20"/>
        <w:u w:val="single"/>
        <w:lang w:val="en-US"/>
      </w:rPr>
      <w:tab/>
    </w:r>
  </w:p>
  <w:p w14:paraId="56B47E4D" w14:textId="52F17A99" w:rsidR="00B65258" w:rsidRPr="00340744" w:rsidRDefault="00B65258" w:rsidP="00B65258">
    <w:pPr>
      <w:jc w:val="center"/>
      <w:rPr>
        <w:rFonts w:ascii="Verdana" w:hAnsi="Verdana"/>
        <w:bCs/>
        <w:sz w:val="18"/>
        <w:szCs w:val="18"/>
        <w:lang w:val="en-US"/>
      </w:rPr>
    </w:pPr>
    <w:r w:rsidRPr="00340744">
      <w:rPr>
        <w:rFonts w:ascii="Verdana" w:hAnsi="Verdana"/>
        <w:sz w:val="18"/>
        <w:lang w:val="en-US"/>
      </w:rPr>
      <w:t xml:space="preserve">TOPAS Advanced Polymers GmbH, Am Prime Parc 9, D-65479 Raunheim, </w:t>
    </w:r>
    <w:hyperlink r:id="rId1" w:history="1">
      <w:r w:rsidRPr="00340744">
        <w:rPr>
          <w:rStyle w:val="Hyperlink"/>
          <w:rFonts w:ascii="Verdana" w:hAnsi="Verdana"/>
          <w:color w:val="auto"/>
          <w:sz w:val="18"/>
          <w:lang w:val="en-US"/>
        </w:rPr>
        <w:t>https://topas.com</w:t>
      </w:r>
    </w:hyperlink>
  </w:p>
  <w:p w14:paraId="655E3B1E" w14:textId="77777777" w:rsidR="00AE2CC8" w:rsidRPr="00340744" w:rsidRDefault="00AE2CC8" w:rsidP="00B65258">
    <w:pPr>
      <w:tabs>
        <w:tab w:val="left" w:pos="4140"/>
        <w:tab w:val="left" w:pos="9000"/>
      </w:tabs>
      <w:autoSpaceDE w:val="0"/>
      <w:autoSpaceDN w:val="0"/>
      <w:adjustRightInd w:val="0"/>
      <w:spacing w:after="0" w:line="240" w:lineRule="auto"/>
      <w:rPr>
        <w:rFonts w:ascii="Arial" w:hAnsi="Arial" w:cs="Arial"/>
        <w:color w:val="000000"/>
        <w:sz w:val="17"/>
        <w:szCs w:val="17"/>
        <w:lang w:val="en-US" w:eastAsia="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9AD" w14:textId="77777777" w:rsidR="00AE2CC8" w:rsidRPr="00340744" w:rsidRDefault="00AE2CC8" w:rsidP="00205F1F">
    <w:pPr>
      <w:tabs>
        <w:tab w:val="left" w:pos="4140"/>
        <w:tab w:val="left" w:pos="9000"/>
      </w:tabs>
      <w:autoSpaceDE w:val="0"/>
      <w:autoSpaceDN w:val="0"/>
      <w:adjustRightInd w:val="0"/>
      <w:spacing w:after="0" w:line="240" w:lineRule="auto"/>
      <w:rPr>
        <w:rFonts w:ascii="Verdana" w:hAnsi="Verdana" w:cs="Arial"/>
        <w:color w:val="000000"/>
        <w:sz w:val="20"/>
        <w:szCs w:val="20"/>
        <w:u w:val="single"/>
        <w:lang w:val="en-US"/>
      </w:rPr>
    </w:pPr>
    <w:r>
      <w:rPr>
        <w:rStyle w:val="Seitenzahl"/>
        <w:rFonts w:ascii="Arial" w:hAnsi="Arial"/>
        <w:sz w:val="20"/>
        <w:u w:val="single"/>
      </w:rPr>
      <w:tab/>
    </w:r>
    <w:r w:rsidRPr="00340744">
      <w:rPr>
        <w:rFonts w:ascii="Verdana" w:hAnsi="Verdana"/>
        <w:color w:val="000000"/>
        <w:sz w:val="20"/>
        <w:lang w:val="en-US"/>
      </w:rPr>
      <w:t>Página </w:t>
    </w:r>
    <w:r w:rsidRPr="00B65258">
      <w:rPr>
        <w:rStyle w:val="Seitenzahl"/>
        <w:rFonts w:ascii="Verdana" w:hAnsi="Verdana" w:cs="Arial"/>
        <w:sz w:val="20"/>
      </w:rPr>
      <w:fldChar w:fldCharType="begin"/>
    </w:r>
    <w:r w:rsidRPr="00340744">
      <w:rPr>
        <w:rStyle w:val="Seitenzahl"/>
        <w:rFonts w:ascii="Verdana" w:hAnsi="Verdana" w:cs="Arial"/>
        <w:sz w:val="20"/>
        <w:lang w:val="en-US"/>
      </w:rPr>
      <w:instrText xml:space="preserve"> PAGE </w:instrText>
    </w:r>
    <w:r w:rsidRPr="00B65258">
      <w:rPr>
        <w:rStyle w:val="Seitenzahl"/>
        <w:rFonts w:ascii="Verdana" w:hAnsi="Verdana" w:cs="Arial"/>
        <w:sz w:val="20"/>
      </w:rPr>
      <w:fldChar w:fldCharType="separate"/>
    </w:r>
    <w:r w:rsidR="00BA5023">
      <w:rPr>
        <w:rStyle w:val="Seitenzahl"/>
        <w:rFonts w:ascii="Verdana" w:hAnsi="Verdana" w:cs="Arial"/>
        <w:noProof/>
        <w:sz w:val="20"/>
        <w:lang w:val="en-US"/>
      </w:rPr>
      <w:t>1</w:t>
    </w:r>
    <w:r w:rsidRPr="00B65258">
      <w:rPr>
        <w:rStyle w:val="Seitenzahl"/>
        <w:rFonts w:ascii="Verdana" w:hAnsi="Verdana" w:cs="Arial"/>
        <w:sz w:val="20"/>
      </w:rPr>
      <w:fldChar w:fldCharType="end"/>
    </w:r>
    <w:r w:rsidRPr="00340744">
      <w:rPr>
        <w:rStyle w:val="Seitenzahl"/>
        <w:rFonts w:ascii="Verdana" w:hAnsi="Verdana"/>
        <w:sz w:val="20"/>
        <w:lang w:val="en-US"/>
      </w:rPr>
      <w:t xml:space="preserve"> de </w:t>
    </w:r>
    <w:r w:rsidR="00B65258" w:rsidRPr="00B65258">
      <w:fldChar w:fldCharType="begin"/>
    </w:r>
    <w:r w:rsidR="00B65258" w:rsidRPr="00340744">
      <w:rPr>
        <w:rFonts w:ascii="Verdana" w:hAnsi="Verdana"/>
        <w:lang w:val="en-US"/>
      </w:rPr>
      <w:instrText xml:space="preserve"> NUMPAGES   \* MERGEFORMAT </w:instrText>
    </w:r>
    <w:r w:rsidR="00B65258" w:rsidRPr="00B65258">
      <w:fldChar w:fldCharType="separate"/>
    </w:r>
    <w:r w:rsidR="00BA5023" w:rsidRPr="00BA5023">
      <w:rPr>
        <w:rStyle w:val="Seitenzahl"/>
        <w:rFonts w:cs="Arial"/>
        <w:noProof/>
        <w:sz w:val="20"/>
      </w:rPr>
      <w:t>2</w:t>
    </w:r>
    <w:r w:rsidR="00B65258" w:rsidRPr="00B65258">
      <w:rPr>
        <w:rStyle w:val="Seitenzahl"/>
        <w:rFonts w:ascii="Verdana" w:hAnsi="Verdana" w:cs="Arial"/>
        <w:sz w:val="20"/>
      </w:rPr>
      <w:fldChar w:fldCharType="end"/>
    </w:r>
    <w:r w:rsidRPr="00340744">
      <w:rPr>
        <w:rStyle w:val="Seitenzahl"/>
        <w:rFonts w:ascii="Verdana" w:hAnsi="Verdana"/>
        <w:sz w:val="20"/>
        <w:u w:val="single"/>
        <w:lang w:val="en-US"/>
      </w:rPr>
      <w:tab/>
    </w:r>
  </w:p>
  <w:p w14:paraId="2A945B7E" w14:textId="372269F0" w:rsidR="00B65258" w:rsidRPr="00340744" w:rsidRDefault="00B65258" w:rsidP="00B65258">
    <w:pPr>
      <w:jc w:val="center"/>
      <w:rPr>
        <w:rFonts w:ascii="Verdana" w:hAnsi="Verdana"/>
        <w:bCs/>
        <w:sz w:val="18"/>
        <w:szCs w:val="18"/>
        <w:lang w:val="en-US"/>
      </w:rPr>
    </w:pPr>
    <w:r w:rsidRPr="00340744">
      <w:rPr>
        <w:rFonts w:ascii="Verdana" w:hAnsi="Verdana"/>
        <w:sz w:val="18"/>
        <w:lang w:val="en-US"/>
      </w:rPr>
      <w:t xml:space="preserve">TOPAS Advanced Polymers GmbH, Am Prime Parc 9, D-65479 Raunheim, </w:t>
    </w:r>
    <w:hyperlink r:id="rId1" w:history="1">
      <w:r w:rsidRPr="00340744">
        <w:rPr>
          <w:rStyle w:val="Hyperlink"/>
          <w:rFonts w:ascii="Verdana" w:hAnsi="Verdana"/>
          <w:color w:val="auto"/>
          <w:sz w:val="18"/>
          <w:lang w:val="en-US"/>
        </w:rPr>
        <w:t>https://topas.com</w:t>
      </w:r>
    </w:hyperlink>
  </w:p>
  <w:p w14:paraId="1886BE2D" w14:textId="77777777" w:rsidR="00AE2CC8" w:rsidRPr="00B65258" w:rsidRDefault="00AE2CC8" w:rsidP="00B65258">
    <w:pPr>
      <w:autoSpaceDE w:val="0"/>
      <w:autoSpaceDN w:val="0"/>
      <w:adjustRightInd w:val="0"/>
      <w:spacing w:before="120" w:after="0" w:line="240" w:lineRule="auto"/>
      <w:jc w:val="center"/>
      <w:rPr>
        <w:rFonts w:ascii="Arial" w:hAnsi="Arial" w:cs="Arial"/>
        <w:color w:val="000000"/>
        <w:sz w:val="17"/>
        <w:szCs w:val="17"/>
        <w:lang w:val="en-US"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8C8A3" w14:textId="77777777" w:rsidR="006554FC" w:rsidRDefault="006554FC" w:rsidP="00995D5B">
      <w:pPr>
        <w:spacing w:after="0" w:line="240" w:lineRule="auto"/>
      </w:pPr>
      <w:r>
        <w:separator/>
      </w:r>
    </w:p>
  </w:footnote>
  <w:footnote w:type="continuationSeparator" w:id="0">
    <w:p w14:paraId="1825446E" w14:textId="77777777" w:rsidR="006554FC" w:rsidRDefault="006554FC"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47E4" w14:textId="77777777" w:rsidR="00813C16" w:rsidRPr="0085518A" w:rsidRDefault="00813C16" w:rsidP="00323B7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1276"/>
      <w:gridCol w:w="3652"/>
    </w:tblGrid>
    <w:tr w:rsidR="005E2180" w:rsidRPr="00340744" w14:paraId="7E42EC2F" w14:textId="77777777" w:rsidTr="005E2180">
      <w:trPr>
        <w:trHeight w:val="2697"/>
      </w:trPr>
      <w:tc>
        <w:tcPr>
          <w:tcW w:w="4361" w:type="dxa"/>
          <w:shd w:val="clear" w:color="auto" w:fill="auto"/>
        </w:tcPr>
        <w:p w14:paraId="355B7DEE" w14:textId="77777777" w:rsidR="005E2180" w:rsidRDefault="005E2180" w:rsidP="008E1B06">
          <w:pPr>
            <w:tabs>
              <w:tab w:val="right" w:pos="9072"/>
            </w:tabs>
            <w:spacing w:line="240" w:lineRule="auto"/>
          </w:pPr>
          <w:r>
            <w:rPr>
              <w:noProof/>
              <w:lang w:val="de-DE" w:eastAsia="de-DE"/>
            </w:rPr>
            <w:drawing>
              <wp:inline distT="0" distB="0" distL="0" distR="0" wp14:anchorId="5704D702" wp14:editId="6FB93C9E">
                <wp:extent cx="1970468" cy="763557"/>
                <wp:effectExtent l="0" t="0" r="0" b="0"/>
                <wp:docPr id="3" name="Grafik 3" descr="TOPAS Advanced Poly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AS Advanced Poly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45" cy="765369"/>
                        </a:xfrm>
                        <a:prstGeom prst="rect">
                          <a:avLst/>
                        </a:prstGeom>
                        <a:noFill/>
                        <a:ln>
                          <a:noFill/>
                        </a:ln>
                      </pic:spPr>
                    </pic:pic>
                  </a:graphicData>
                </a:graphic>
              </wp:inline>
            </w:drawing>
          </w:r>
        </w:p>
        <w:p w14:paraId="11FAEB81" w14:textId="77777777" w:rsidR="005E2180" w:rsidRDefault="005E2180" w:rsidP="00987D12">
          <w:pPr>
            <w:tabs>
              <w:tab w:val="right" w:pos="9072"/>
            </w:tabs>
            <w:spacing w:line="240" w:lineRule="auto"/>
            <w:ind w:left="-426"/>
          </w:pPr>
          <w:r>
            <w:rPr>
              <w:noProof/>
              <w:lang w:val="de-DE" w:eastAsia="de-DE"/>
            </w:rPr>
            <w:drawing>
              <wp:inline distT="0" distB="0" distL="0" distR="0" wp14:anchorId="305771E2" wp14:editId="25B8C7F1">
                <wp:extent cx="2711397" cy="9401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oup logo (JPEG)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8052" cy="942466"/>
                        </a:xfrm>
                        <a:prstGeom prst="rect">
                          <a:avLst/>
                        </a:prstGeom>
                      </pic:spPr>
                    </pic:pic>
                  </a:graphicData>
                </a:graphic>
              </wp:inline>
            </w:drawing>
          </w:r>
        </w:p>
      </w:tc>
      <w:tc>
        <w:tcPr>
          <w:tcW w:w="1276" w:type="dxa"/>
          <w:shd w:val="clear" w:color="auto" w:fill="auto"/>
        </w:tcPr>
        <w:p w14:paraId="622977BF" w14:textId="77777777" w:rsidR="005E2180" w:rsidRPr="002A4AF5" w:rsidRDefault="005E2180" w:rsidP="008E1B06">
          <w:pPr>
            <w:tabs>
              <w:tab w:val="left" w:pos="4395"/>
              <w:tab w:val="left" w:pos="5387"/>
            </w:tabs>
            <w:autoSpaceDE w:val="0"/>
            <w:autoSpaceDN w:val="0"/>
            <w:adjustRightInd w:val="0"/>
            <w:spacing w:after="0" w:line="240" w:lineRule="auto"/>
            <w:rPr>
              <w:lang w:val="en-US"/>
            </w:rPr>
          </w:pPr>
        </w:p>
      </w:tc>
      <w:tc>
        <w:tcPr>
          <w:tcW w:w="3652" w:type="dxa"/>
          <w:shd w:val="clear" w:color="auto" w:fill="auto"/>
        </w:tcPr>
        <w:p w14:paraId="6BE3C9F4" w14:textId="35D4734F"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TOPAS Advanced Polymers</w:t>
          </w:r>
          <w:r w:rsidR="00BA5023">
            <w:rPr>
              <w:rFonts w:ascii="Verdana" w:hAnsi="Verdana"/>
              <w:sz w:val="20"/>
              <w:lang w:val="en-US"/>
            </w:rPr>
            <w:t xml:space="preserve"> </w:t>
          </w:r>
          <w:r w:rsidRPr="00340744">
            <w:rPr>
              <w:rFonts w:ascii="Verdana" w:hAnsi="Verdana"/>
              <w:sz w:val="20"/>
              <w:lang w:val="en-US"/>
            </w:rPr>
            <w:t>GmbH</w:t>
          </w:r>
        </w:p>
        <w:p w14:paraId="1CC7813D" w14:textId="77777777"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Am Prime Parc 9</w:t>
          </w:r>
        </w:p>
        <w:p w14:paraId="2CB5D4B5" w14:textId="77777777"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D-65479 Raunheim</w:t>
          </w:r>
        </w:p>
        <w:p w14:paraId="56ADEB89" w14:textId="77777777" w:rsidR="005E2180" w:rsidRPr="00340744"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en-US"/>
            </w:rPr>
          </w:pPr>
          <w:r w:rsidRPr="00340744">
            <w:rPr>
              <w:rFonts w:ascii="Verdana" w:hAnsi="Verdana"/>
              <w:sz w:val="20"/>
              <w:lang w:val="en-US"/>
            </w:rPr>
            <w:t xml:space="preserve">Dr. Dirk Heukelbach </w:t>
          </w:r>
        </w:p>
        <w:p w14:paraId="6931C10E" w14:textId="77777777"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Market Development EMEA</w:t>
          </w:r>
        </w:p>
        <w:p w14:paraId="34C83192" w14:textId="77777777"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Packaging &amp; Films</w:t>
          </w:r>
        </w:p>
        <w:p w14:paraId="7F226EB3" w14:textId="77777777" w:rsidR="005E2180" w:rsidRPr="00340744"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en-US"/>
            </w:rPr>
          </w:pPr>
          <w:r w:rsidRPr="00340744">
            <w:rPr>
              <w:rFonts w:ascii="Verdana" w:hAnsi="Verdana"/>
              <w:sz w:val="20"/>
              <w:lang w:val="en-US"/>
            </w:rPr>
            <w:t>Tel.: +49 69 94 515 80-00</w:t>
          </w:r>
        </w:p>
        <w:p w14:paraId="66FDBFDD" w14:textId="77777777" w:rsidR="005E2180" w:rsidRPr="00340744"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340744">
            <w:rPr>
              <w:rFonts w:ascii="Verdana" w:hAnsi="Verdana"/>
              <w:sz w:val="20"/>
              <w:lang w:val="en-US"/>
            </w:rPr>
            <w:t>Móvil: +49 172 6525 971</w:t>
          </w:r>
        </w:p>
        <w:p w14:paraId="2FB65E6C" w14:textId="14F932E6" w:rsidR="005E2180" w:rsidRPr="00340744" w:rsidRDefault="00BA5023" w:rsidP="005E2180">
          <w:pPr>
            <w:tabs>
              <w:tab w:val="left" w:pos="4395"/>
              <w:tab w:val="left" w:pos="5387"/>
            </w:tabs>
            <w:autoSpaceDE w:val="0"/>
            <w:autoSpaceDN w:val="0"/>
            <w:adjustRightInd w:val="0"/>
            <w:spacing w:after="0" w:line="240" w:lineRule="auto"/>
            <w:rPr>
              <w:rFonts w:ascii="Verdana" w:hAnsi="Verdana"/>
              <w:sz w:val="20"/>
              <w:szCs w:val="20"/>
              <w:lang w:val="en-US"/>
            </w:rPr>
          </w:pPr>
          <w:hyperlink r:id="rId3" w:history="1">
            <w:r w:rsidR="007006F7" w:rsidRPr="00340744">
              <w:rPr>
                <w:rStyle w:val="Hyperlink"/>
                <w:rFonts w:ascii="Verdana" w:hAnsi="Verdana"/>
                <w:sz w:val="20"/>
                <w:lang w:val="en-US"/>
              </w:rPr>
              <w:t>dirk.heukelbach@topas.com</w:t>
            </w:r>
          </w:hyperlink>
        </w:p>
        <w:p w14:paraId="0251269C" w14:textId="77777777" w:rsidR="005E2180" w:rsidRPr="00340744" w:rsidRDefault="005E2180" w:rsidP="005E2180">
          <w:pPr>
            <w:tabs>
              <w:tab w:val="left" w:pos="4395"/>
              <w:tab w:val="left" w:pos="5387"/>
            </w:tabs>
            <w:autoSpaceDE w:val="0"/>
            <w:autoSpaceDN w:val="0"/>
            <w:adjustRightInd w:val="0"/>
            <w:spacing w:after="0" w:line="240" w:lineRule="auto"/>
            <w:rPr>
              <w:lang w:val="en-US"/>
            </w:rPr>
          </w:pPr>
          <w:r w:rsidRPr="00340744">
            <w:rPr>
              <w:rFonts w:ascii="Verdana" w:hAnsi="Verdana"/>
              <w:sz w:val="20"/>
              <w:lang w:val="en-US"/>
            </w:rPr>
            <w:t>www.topas.com</w:t>
          </w:r>
        </w:p>
      </w:tc>
    </w:tr>
  </w:tbl>
  <w:p w14:paraId="686BCC26" w14:textId="77777777" w:rsidR="00813C16" w:rsidRPr="005E2180" w:rsidRDefault="00A43CB6" w:rsidP="005E2180">
    <w:pPr>
      <w:spacing w:before="240" w:after="0" w:line="240" w:lineRule="auto"/>
      <w:textAlignment w:val="baseline"/>
      <w:outlineLvl w:val="1"/>
      <w:rPr>
        <w:rFonts w:ascii="Electrolize" w:eastAsia="Times New Roman" w:hAnsi="Electrolize"/>
        <w:b/>
        <w:sz w:val="40"/>
        <w:szCs w:val="40"/>
      </w:rPr>
    </w:pPr>
    <w:r>
      <w:rPr>
        <w:rFonts w:ascii="Electrolize" w:hAnsi="Electrolize"/>
        <w:b/>
        <w:sz w:val="40"/>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C1"/>
    <w:rsid w:val="000003B4"/>
    <w:rsid w:val="00001A8E"/>
    <w:rsid w:val="00003DE5"/>
    <w:rsid w:val="000075CA"/>
    <w:rsid w:val="00007D54"/>
    <w:rsid w:val="00010055"/>
    <w:rsid w:val="00010BDF"/>
    <w:rsid w:val="00014C21"/>
    <w:rsid w:val="000164B7"/>
    <w:rsid w:val="000176E1"/>
    <w:rsid w:val="00022F1E"/>
    <w:rsid w:val="0002343C"/>
    <w:rsid w:val="000267FA"/>
    <w:rsid w:val="00030A84"/>
    <w:rsid w:val="000366DD"/>
    <w:rsid w:val="00042D1B"/>
    <w:rsid w:val="000477B5"/>
    <w:rsid w:val="000559C5"/>
    <w:rsid w:val="00055E39"/>
    <w:rsid w:val="000571FC"/>
    <w:rsid w:val="0006156C"/>
    <w:rsid w:val="00065AA2"/>
    <w:rsid w:val="0006724D"/>
    <w:rsid w:val="000756D6"/>
    <w:rsid w:val="00091221"/>
    <w:rsid w:val="000949EE"/>
    <w:rsid w:val="00095CA4"/>
    <w:rsid w:val="000A5D3C"/>
    <w:rsid w:val="000B34B9"/>
    <w:rsid w:val="000B385F"/>
    <w:rsid w:val="000B6E60"/>
    <w:rsid w:val="000B7FCC"/>
    <w:rsid w:val="000D3683"/>
    <w:rsid w:val="000D6346"/>
    <w:rsid w:val="000E1AAE"/>
    <w:rsid w:val="000E5442"/>
    <w:rsid w:val="000E563D"/>
    <w:rsid w:val="000E6933"/>
    <w:rsid w:val="000F266E"/>
    <w:rsid w:val="000F426F"/>
    <w:rsid w:val="00102163"/>
    <w:rsid w:val="00106A14"/>
    <w:rsid w:val="001078A9"/>
    <w:rsid w:val="00107B4B"/>
    <w:rsid w:val="0011226D"/>
    <w:rsid w:val="0012382F"/>
    <w:rsid w:val="00132969"/>
    <w:rsid w:val="00132DBC"/>
    <w:rsid w:val="00133645"/>
    <w:rsid w:val="00134513"/>
    <w:rsid w:val="0014301E"/>
    <w:rsid w:val="00143EBA"/>
    <w:rsid w:val="00146529"/>
    <w:rsid w:val="00163DA1"/>
    <w:rsid w:val="00163F31"/>
    <w:rsid w:val="001648FC"/>
    <w:rsid w:val="00172303"/>
    <w:rsid w:val="001776AC"/>
    <w:rsid w:val="00182FB0"/>
    <w:rsid w:val="001838D1"/>
    <w:rsid w:val="00185955"/>
    <w:rsid w:val="00185C12"/>
    <w:rsid w:val="00187F30"/>
    <w:rsid w:val="00195344"/>
    <w:rsid w:val="0019635C"/>
    <w:rsid w:val="001A2BFF"/>
    <w:rsid w:val="001A58A4"/>
    <w:rsid w:val="001A7F1F"/>
    <w:rsid w:val="001B0C85"/>
    <w:rsid w:val="001B0C94"/>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3D1E"/>
    <w:rsid w:val="00220CF4"/>
    <w:rsid w:val="00224010"/>
    <w:rsid w:val="00225851"/>
    <w:rsid w:val="00226ABB"/>
    <w:rsid w:val="002341B3"/>
    <w:rsid w:val="00237822"/>
    <w:rsid w:val="00240450"/>
    <w:rsid w:val="0024655E"/>
    <w:rsid w:val="002508E0"/>
    <w:rsid w:val="00261635"/>
    <w:rsid w:val="0026531F"/>
    <w:rsid w:val="00267D5D"/>
    <w:rsid w:val="002722FD"/>
    <w:rsid w:val="002768D6"/>
    <w:rsid w:val="002813F8"/>
    <w:rsid w:val="00281E93"/>
    <w:rsid w:val="002839FD"/>
    <w:rsid w:val="00290DF4"/>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4EEB"/>
    <w:rsid w:val="002D5B08"/>
    <w:rsid w:val="002D6FD2"/>
    <w:rsid w:val="002E0985"/>
    <w:rsid w:val="002E2A0E"/>
    <w:rsid w:val="002E2EA6"/>
    <w:rsid w:val="002E6C13"/>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40744"/>
    <w:rsid w:val="003527D2"/>
    <w:rsid w:val="00353845"/>
    <w:rsid w:val="00353EC0"/>
    <w:rsid w:val="00363E99"/>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4DF"/>
    <w:rsid w:val="003E4811"/>
    <w:rsid w:val="003E52C2"/>
    <w:rsid w:val="003E7114"/>
    <w:rsid w:val="003E7FB9"/>
    <w:rsid w:val="003F4A5C"/>
    <w:rsid w:val="00401785"/>
    <w:rsid w:val="00401873"/>
    <w:rsid w:val="004078B5"/>
    <w:rsid w:val="00407A93"/>
    <w:rsid w:val="00412546"/>
    <w:rsid w:val="004151E1"/>
    <w:rsid w:val="00415C83"/>
    <w:rsid w:val="00431801"/>
    <w:rsid w:val="00437326"/>
    <w:rsid w:val="00444EF1"/>
    <w:rsid w:val="00445930"/>
    <w:rsid w:val="0045014A"/>
    <w:rsid w:val="00451EEB"/>
    <w:rsid w:val="00455ED4"/>
    <w:rsid w:val="00456946"/>
    <w:rsid w:val="00456E70"/>
    <w:rsid w:val="00463FB6"/>
    <w:rsid w:val="00466CF6"/>
    <w:rsid w:val="00472741"/>
    <w:rsid w:val="004836A6"/>
    <w:rsid w:val="00487011"/>
    <w:rsid w:val="0048799C"/>
    <w:rsid w:val="00487B26"/>
    <w:rsid w:val="00491C73"/>
    <w:rsid w:val="00492CC8"/>
    <w:rsid w:val="00493EED"/>
    <w:rsid w:val="00494C59"/>
    <w:rsid w:val="00494EE0"/>
    <w:rsid w:val="0049784B"/>
    <w:rsid w:val="004A2029"/>
    <w:rsid w:val="004A53DB"/>
    <w:rsid w:val="004A617A"/>
    <w:rsid w:val="004B2E77"/>
    <w:rsid w:val="004C0AF6"/>
    <w:rsid w:val="004C0CE2"/>
    <w:rsid w:val="004C374F"/>
    <w:rsid w:val="004C4985"/>
    <w:rsid w:val="004C5BC6"/>
    <w:rsid w:val="004D5CD0"/>
    <w:rsid w:val="004E7DFB"/>
    <w:rsid w:val="004F18C9"/>
    <w:rsid w:val="004F18E0"/>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1D"/>
    <w:rsid w:val="0057312D"/>
    <w:rsid w:val="00574F8E"/>
    <w:rsid w:val="00577EFD"/>
    <w:rsid w:val="00581F80"/>
    <w:rsid w:val="00592D89"/>
    <w:rsid w:val="005A05E9"/>
    <w:rsid w:val="005A5C15"/>
    <w:rsid w:val="005B1B4A"/>
    <w:rsid w:val="005B6004"/>
    <w:rsid w:val="005C4018"/>
    <w:rsid w:val="005C43C7"/>
    <w:rsid w:val="005C4EFB"/>
    <w:rsid w:val="005D185F"/>
    <w:rsid w:val="005D39D3"/>
    <w:rsid w:val="005D3A0A"/>
    <w:rsid w:val="005E1C2B"/>
    <w:rsid w:val="005E2180"/>
    <w:rsid w:val="005E45B1"/>
    <w:rsid w:val="005E556D"/>
    <w:rsid w:val="005E6193"/>
    <w:rsid w:val="005E6498"/>
    <w:rsid w:val="005F0F51"/>
    <w:rsid w:val="005F1367"/>
    <w:rsid w:val="005F386F"/>
    <w:rsid w:val="005F5700"/>
    <w:rsid w:val="005F7150"/>
    <w:rsid w:val="006045DD"/>
    <w:rsid w:val="00613D4B"/>
    <w:rsid w:val="00617EF2"/>
    <w:rsid w:val="0062357C"/>
    <w:rsid w:val="00625EA7"/>
    <w:rsid w:val="0063401A"/>
    <w:rsid w:val="00634D0B"/>
    <w:rsid w:val="006464F0"/>
    <w:rsid w:val="006554FC"/>
    <w:rsid w:val="00661870"/>
    <w:rsid w:val="0066790D"/>
    <w:rsid w:val="00671254"/>
    <w:rsid w:val="00671B41"/>
    <w:rsid w:val="0067282F"/>
    <w:rsid w:val="00677D36"/>
    <w:rsid w:val="00682E72"/>
    <w:rsid w:val="00692DB7"/>
    <w:rsid w:val="006A310A"/>
    <w:rsid w:val="006B2878"/>
    <w:rsid w:val="006B4B18"/>
    <w:rsid w:val="006B63C7"/>
    <w:rsid w:val="006B7AE0"/>
    <w:rsid w:val="006C5C1C"/>
    <w:rsid w:val="006C6D0C"/>
    <w:rsid w:val="006C796B"/>
    <w:rsid w:val="006D6DEF"/>
    <w:rsid w:val="006E2B25"/>
    <w:rsid w:val="006E629A"/>
    <w:rsid w:val="006F413A"/>
    <w:rsid w:val="007006F7"/>
    <w:rsid w:val="00701788"/>
    <w:rsid w:val="00701F8D"/>
    <w:rsid w:val="00702187"/>
    <w:rsid w:val="007021A4"/>
    <w:rsid w:val="00706928"/>
    <w:rsid w:val="00717EEF"/>
    <w:rsid w:val="007206B3"/>
    <w:rsid w:val="00725379"/>
    <w:rsid w:val="00731C5C"/>
    <w:rsid w:val="0073458F"/>
    <w:rsid w:val="00734A2D"/>
    <w:rsid w:val="00741EA0"/>
    <w:rsid w:val="00745EC1"/>
    <w:rsid w:val="007542CA"/>
    <w:rsid w:val="00760BA4"/>
    <w:rsid w:val="007623FF"/>
    <w:rsid w:val="0076446F"/>
    <w:rsid w:val="00764840"/>
    <w:rsid w:val="00770A17"/>
    <w:rsid w:val="00771AE7"/>
    <w:rsid w:val="00787834"/>
    <w:rsid w:val="007A1090"/>
    <w:rsid w:val="007A1381"/>
    <w:rsid w:val="007A17C1"/>
    <w:rsid w:val="007A30F8"/>
    <w:rsid w:val="007A4B57"/>
    <w:rsid w:val="007A4E4F"/>
    <w:rsid w:val="007A5AAC"/>
    <w:rsid w:val="007A76C1"/>
    <w:rsid w:val="007B77F6"/>
    <w:rsid w:val="007C1EBA"/>
    <w:rsid w:val="007C4787"/>
    <w:rsid w:val="007C4839"/>
    <w:rsid w:val="007C6FF0"/>
    <w:rsid w:val="007D0B8F"/>
    <w:rsid w:val="007D26E9"/>
    <w:rsid w:val="007D6291"/>
    <w:rsid w:val="007D66DD"/>
    <w:rsid w:val="007E54AE"/>
    <w:rsid w:val="007E670D"/>
    <w:rsid w:val="007F0D84"/>
    <w:rsid w:val="00805636"/>
    <w:rsid w:val="00806855"/>
    <w:rsid w:val="00806BE1"/>
    <w:rsid w:val="00813C16"/>
    <w:rsid w:val="008157B6"/>
    <w:rsid w:val="00820311"/>
    <w:rsid w:val="008215AD"/>
    <w:rsid w:val="00821E4B"/>
    <w:rsid w:val="00825339"/>
    <w:rsid w:val="0082659D"/>
    <w:rsid w:val="00826B1E"/>
    <w:rsid w:val="00826CC2"/>
    <w:rsid w:val="00832A0F"/>
    <w:rsid w:val="00832A27"/>
    <w:rsid w:val="00850DBB"/>
    <w:rsid w:val="0085518A"/>
    <w:rsid w:val="008570FB"/>
    <w:rsid w:val="00864C41"/>
    <w:rsid w:val="00866316"/>
    <w:rsid w:val="00872C5E"/>
    <w:rsid w:val="008766DC"/>
    <w:rsid w:val="00876C12"/>
    <w:rsid w:val="00884F52"/>
    <w:rsid w:val="0088552D"/>
    <w:rsid w:val="00897491"/>
    <w:rsid w:val="008A1598"/>
    <w:rsid w:val="008A4C5C"/>
    <w:rsid w:val="008A514F"/>
    <w:rsid w:val="008B45CD"/>
    <w:rsid w:val="008C1F2C"/>
    <w:rsid w:val="008C6D57"/>
    <w:rsid w:val="008C7A70"/>
    <w:rsid w:val="008D134E"/>
    <w:rsid w:val="008D1784"/>
    <w:rsid w:val="008D4D0F"/>
    <w:rsid w:val="008E1B06"/>
    <w:rsid w:val="008E340A"/>
    <w:rsid w:val="008E365A"/>
    <w:rsid w:val="008E5250"/>
    <w:rsid w:val="008F76DF"/>
    <w:rsid w:val="00901814"/>
    <w:rsid w:val="00902273"/>
    <w:rsid w:val="00902D69"/>
    <w:rsid w:val="0090514E"/>
    <w:rsid w:val="00905B8F"/>
    <w:rsid w:val="00917E49"/>
    <w:rsid w:val="00920F87"/>
    <w:rsid w:val="00924FC7"/>
    <w:rsid w:val="00934297"/>
    <w:rsid w:val="00935FFF"/>
    <w:rsid w:val="00940D1E"/>
    <w:rsid w:val="00941ED2"/>
    <w:rsid w:val="00942F5D"/>
    <w:rsid w:val="0094477A"/>
    <w:rsid w:val="00944CE4"/>
    <w:rsid w:val="009476D9"/>
    <w:rsid w:val="00956E55"/>
    <w:rsid w:val="00966952"/>
    <w:rsid w:val="00967AB8"/>
    <w:rsid w:val="00967D99"/>
    <w:rsid w:val="00971CED"/>
    <w:rsid w:val="00975CC0"/>
    <w:rsid w:val="0097616E"/>
    <w:rsid w:val="00982094"/>
    <w:rsid w:val="00983DB4"/>
    <w:rsid w:val="00986A10"/>
    <w:rsid w:val="00987D12"/>
    <w:rsid w:val="009906EB"/>
    <w:rsid w:val="00994AF2"/>
    <w:rsid w:val="009957CB"/>
    <w:rsid w:val="00995D5B"/>
    <w:rsid w:val="009A1428"/>
    <w:rsid w:val="009A236A"/>
    <w:rsid w:val="009A2B7D"/>
    <w:rsid w:val="009A434D"/>
    <w:rsid w:val="009A604E"/>
    <w:rsid w:val="009A6781"/>
    <w:rsid w:val="009A747D"/>
    <w:rsid w:val="009B5736"/>
    <w:rsid w:val="009B756D"/>
    <w:rsid w:val="009C0541"/>
    <w:rsid w:val="009C35B8"/>
    <w:rsid w:val="009C4127"/>
    <w:rsid w:val="009C52FA"/>
    <w:rsid w:val="009C67C5"/>
    <w:rsid w:val="009C77F2"/>
    <w:rsid w:val="009D30F0"/>
    <w:rsid w:val="009E0D28"/>
    <w:rsid w:val="009E2C1C"/>
    <w:rsid w:val="009E303B"/>
    <w:rsid w:val="009E5072"/>
    <w:rsid w:val="009F1C8E"/>
    <w:rsid w:val="009F2241"/>
    <w:rsid w:val="009F70BC"/>
    <w:rsid w:val="00A047A0"/>
    <w:rsid w:val="00A11245"/>
    <w:rsid w:val="00A114D0"/>
    <w:rsid w:val="00A16454"/>
    <w:rsid w:val="00A20DEC"/>
    <w:rsid w:val="00A259FF"/>
    <w:rsid w:val="00A30AA5"/>
    <w:rsid w:val="00A310CE"/>
    <w:rsid w:val="00A361CC"/>
    <w:rsid w:val="00A400CB"/>
    <w:rsid w:val="00A43CB6"/>
    <w:rsid w:val="00A450CC"/>
    <w:rsid w:val="00A50F45"/>
    <w:rsid w:val="00A5683C"/>
    <w:rsid w:val="00A56B11"/>
    <w:rsid w:val="00A61CEE"/>
    <w:rsid w:val="00A643ED"/>
    <w:rsid w:val="00A64A82"/>
    <w:rsid w:val="00A65296"/>
    <w:rsid w:val="00A65ADF"/>
    <w:rsid w:val="00A66985"/>
    <w:rsid w:val="00A713F9"/>
    <w:rsid w:val="00A804D0"/>
    <w:rsid w:val="00A908A0"/>
    <w:rsid w:val="00A91845"/>
    <w:rsid w:val="00A9220C"/>
    <w:rsid w:val="00A96556"/>
    <w:rsid w:val="00A966DA"/>
    <w:rsid w:val="00AA0DEF"/>
    <w:rsid w:val="00AA3A4E"/>
    <w:rsid w:val="00AA5D15"/>
    <w:rsid w:val="00AA7091"/>
    <w:rsid w:val="00AB041E"/>
    <w:rsid w:val="00AB0EEE"/>
    <w:rsid w:val="00AB3AA0"/>
    <w:rsid w:val="00AB4736"/>
    <w:rsid w:val="00AB5AA9"/>
    <w:rsid w:val="00AC79A3"/>
    <w:rsid w:val="00AD0632"/>
    <w:rsid w:val="00AD1CC7"/>
    <w:rsid w:val="00AE048B"/>
    <w:rsid w:val="00AE0510"/>
    <w:rsid w:val="00AE2723"/>
    <w:rsid w:val="00AE2CC8"/>
    <w:rsid w:val="00AE3CDE"/>
    <w:rsid w:val="00AF38E5"/>
    <w:rsid w:val="00AF4133"/>
    <w:rsid w:val="00AF5414"/>
    <w:rsid w:val="00B02233"/>
    <w:rsid w:val="00B02353"/>
    <w:rsid w:val="00B1126E"/>
    <w:rsid w:val="00B124F0"/>
    <w:rsid w:val="00B208BB"/>
    <w:rsid w:val="00B275B6"/>
    <w:rsid w:val="00B27B6E"/>
    <w:rsid w:val="00B32755"/>
    <w:rsid w:val="00B34966"/>
    <w:rsid w:val="00B37B33"/>
    <w:rsid w:val="00B42BE5"/>
    <w:rsid w:val="00B46465"/>
    <w:rsid w:val="00B466AE"/>
    <w:rsid w:val="00B47C20"/>
    <w:rsid w:val="00B548AA"/>
    <w:rsid w:val="00B62EA2"/>
    <w:rsid w:val="00B636C3"/>
    <w:rsid w:val="00B64AE2"/>
    <w:rsid w:val="00B65258"/>
    <w:rsid w:val="00B660E1"/>
    <w:rsid w:val="00B67061"/>
    <w:rsid w:val="00B71B59"/>
    <w:rsid w:val="00B77026"/>
    <w:rsid w:val="00B86F09"/>
    <w:rsid w:val="00B926A3"/>
    <w:rsid w:val="00B97A4C"/>
    <w:rsid w:val="00BA5023"/>
    <w:rsid w:val="00BA59C3"/>
    <w:rsid w:val="00BA6CF9"/>
    <w:rsid w:val="00BB3720"/>
    <w:rsid w:val="00BB5766"/>
    <w:rsid w:val="00BB7F3F"/>
    <w:rsid w:val="00BC48CC"/>
    <w:rsid w:val="00BD3522"/>
    <w:rsid w:val="00BD79B5"/>
    <w:rsid w:val="00BE095F"/>
    <w:rsid w:val="00BE0F30"/>
    <w:rsid w:val="00BE1E81"/>
    <w:rsid w:val="00BE328B"/>
    <w:rsid w:val="00BE6E41"/>
    <w:rsid w:val="00BE7518"/>
    <w:rsid w:val="00BF283E"/>
    <w:rsid w:val="00BF51D2"/>
    <w:rsid w:val="00C016E4"/>
    <w:rsid w:val="00C07FEA"/>
    <w:rsid w:val="00C103D2"/>
    <w:rsid w:val="00C16086"/>
    <w:rsid w:val="00C23276"/>
    <w:rsid w:val="00C23A93"/>
    <w:rsid w:val="00C359A2"/>
    <w:rsid w:val="00C4029B"/>
    <w:rsid w:val="00C4088C"/>
    <w:rsid w:val="00C435F2"/>
    <w:rsid w:val="00C51A5F"/>
    <w:rsid w:val="00C529FF"/>
    <w:rsid w:val="00C5401D"/>
    <w:rsid w:val="00C55399"/>
    <w:rsid w:val="00C56B21"/>
    <w:rsid w:val="00C66980"/>
    <w:rsid w:val="00C67722"/>
    <w:rsid w:val="00C70C51"/>
    <w:rsid w:val="00C7666A"/>
    <w:rsid w:val="00C82547"/>
    <w:rsid w:val="00C83D90"/>
    <w:rsid w:val="00C939D3"/>
    <w:rsid w:val="00C944BF"/>
    <w:rsid w:val="00C967B4"/>
    <w:rsid w:val="00CA296C"/>
    <w:rsid w:val="00CB3572"/>
    <w:rsid w:val="00CC0584"/>
    <w:rsid w:val="00CC0F1A"/>
    <w:rsid w:val="00CC27F4"/>
    <w:rsid w:val="00CC286C"/>
    <w:rsid w:val="00CC6281"/>
    <w:rsid w:val="00CD2FED"/>
    <w:rsid w:val="00CD7F9C"/>
    <w:rsid w:val="00CE42E5"/>
    <w:rsid w:val="00CE77CF"/>
    <w:rsid w:val="00CF1FEF"/>
    <w:rsid w:val="00CF4A91"/>
    <w:rsid w:val="00CF5410"/>
    <w:rsid w:val="00CF7AAD"/>
    <w:rsid w:val="00D12911"/>
    <w:rsid w:val="00D12E16"/>
    <w:rsid w:val="00D43F45"/>
    <w:rsid w:val="00D444C7"/>
    <w:rsid w:val="00D467C1"/>
    <w:rsid w:val="00D5536D"/>
    <w:rsid w:val="00D57427"/>
    <w:rsid w:val="00D57D68"/>
    <w:rsid w:val="00D57D6D"/>
    <w:rsid w:val="00D6073E"/>
    <w:rsid w:val="00D60C16"/>
    <w:rsid w:val="00D623AB"/>
    <w:rsid w:val="00D67BC3"/>
    <w:rsid w:val="00D70AFB"/>
    <w:rsid w:val="00D7127E"/>
    <w:rsid w:val="00D72744"/>
    <w:rsid w:val="00D7511D"/>
    <w:rsid w:val="00D7763B"/>
    <w:rsid w:val="00D8393A"/>
    <w:rsid w:val="00D84EAE"/>
    <w:rsid w:val="00D84EB3"/>
    <w:rsid w:val="00D87B46"/>
    <w:rsid w:val="00D97300"/>
    <w:rsid w:val="00D97AC3"/>
    <w:rsid w:val="00DA15AA"/>
    <w:rsid w:val="00DB021B"/>
    <w:rsid w:val="00DB0D53"/>
    <w:rsid w:val="00DB1276"/>
    <w:rsid w:val="00DB16A2"/>
    <w:rsid w:val="00DB200D"/>
    <w:rsid w:val="00DB4704"/>
    <w:rsid w:val="00DC0354"/>
    <w:rsid w:val="00DC21F1"/>
    <w:rsid w:val="00DC4275"/>
    <w:rsid w:val="00DD1EEE"/>
    <w:rsid w:val="00DD7296"/>
    <w:rsid w:val="00DE04BF"/>
    <w:rsid w:val="00DE0A44"/>
    <w:rsid w:val="00DE27EC"/>
    <w:rsid w:val="00DF103F"/>
    <w:rsid w:val="00DF37AE"/>
    <w:rsid w:val="00DF4BAF"/>
    <w:rsid w:val="00E03756"/>
    <w:rsid w:val="00E03AAA"/>
    <w:rsid w:val="00E04333"/>
    <w:rsid w:val="00E10715"/>
    <w:rsid w:val="00E14DBA"/>
    <w:rsid w:val="00E14E9A"/>
    <w:rsid w:val="00E154DB"/>
    <w:rsid w:val="00E225D6"/>
    <w:rsid w:val="00E22E71"/>
    <w:rsid w:val="00E27F11"/>
    <w:rsid w:val="00E401BA"/>
    <w:rsid w:val="00E433D5"/>
    <w:rsid w:val="00E4553E"/>
    <w:rsid w:val="00E45D0E"/>
    <w:rsid w:val="00E45D3D"/>
    <w:rsid w:val="00E45DFB"/>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6FB3"/>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4B3A"/>
    <w:rsid w:val="00F5774B"/>
    <w:rsid w:val="00F60D73"/>
    <w:rsid w:val="00F634AC"/>
    <w:rsid w:val="00F6355D"/>
    <w:rsid w:val="00F70B29"/>
    <w:rsid w:val="00F71302"/>
    <w:rsid w:val="00F7756D"/>
    <w:rsid w:val="00F808DC"/>
    <w:rsid w:val="00F8488A"/>
    <w:rsid w:val="00F86314"/>
    <w:rsid w:val="00F868E8"/>
    <w:rsid w:val="00F91CC0"/>
    <w:rsid w:val="00F9465A"/>
    <w:rsid w:val="00FA00A4"/>
    <w:rsid w:val="00FA15E3"/>
    <w:rsid w:val="00FA32F1"/>
    <w:rsid w:val="00FA595A"/>
    <w:rsid w:val="00FB0848"/>
    <w:rsid w:val="00FB4739"/>
    <w:rsid w:val="00FB48F9"/>
    <w:rsid w:val="00FB4CED"/>
    <w:rsid w:val="00FB5259"/>
    <w:rsid w:val="00FD1292"/>
    <w:rsid w:val="00FD3ED8"/>
    <w:rsid w:val="00FE263A"/>
    <w:rsid w:val="00FE4104"/>
    <w:rsid w:val="00FF03C7"/>
    <w:rsid w:val="00FF052E"/>
    <w:rsid w:val="00FF1C4E"/>
    <w:rsid w:val="00FF4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258">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2">
          <w:marLeft w:val="0"/>
          <w:marRight w:val="0"/>
          <w:marTop w:val="0"/>
          <w:marBottom w:val="0"/>
          <w:divBdr>
            <w:top w:val="none" w:sz="0" w:space="0" w:color="auto"/>
            <w:left w:val="none" w:sz="0" w:space="0" w:color="auto"/>
            <w:bottom w:val="none" w:sz="0" w:space="0" w:color="auto"/>
            <w:right w:val="none" w:sz="0" w:space="0" w:color="auto"/>
          </w:divBdr>
          <w:divsChild>
            <w:div w:id="1306079341">
              <w:marLeft w:val="0"/>
              <w:marRight w:val="0"/>
              <w:marTop w:val="0"/>
              <w:marBottom w:val="0"/>
              <w:divBdr>
                <w:top w:val="none" w:sz="0" w:space="0" w:color="auto"/>
                <w:left w:val="none" w:sz="0" w:space="0" w:color="auto"/>
                <w:bottom w:val="none" w:sz="0" w:space="0" w:color="auto"/>
                <w:right w:val="none" w:sz="0" w:space="0" w:color="auto"/>
              </w:divBdr>
              <w:divsChild>
                <w:div w:id="1714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703">
      <w:bodyDiv w:val="1"/>
      <w:marLeft w:val="0"/>
      <w:marRight w:val="0"/>
      <w:marTop w:val="0"/>
      <w:marBottom w:val="0"/>
      <w:divBdr>
        <w:top w:val="none" w:sz="0" w:space="0" w:color="auto"/>
        <w:left w:val="none" w:sz="0" w:space="0" w:color="auto"/>
        <w:bottom w:val="none" w:sz="0" w:space="0" w:color="auto"/>
        <w:right w:val="none" w:sz="0" w:space="0" w:color="auto"/>
      </w:divBdr>
    </w:div>
    <w:div w:id="174536525">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20432734">
      <w:bodyDiv w:val="1"/>
      <w:marLeft w:val="0"/>
      <w:marRight w:val="0"/>
      <w:marTop w:val="0"/>
      <w:marBottom w:val="0"/>
      <w:divBdr>
        <w:top w:val="none" w:sz="0" w:space="0" w:color="auto"/>
        <w:left w:val="none" w:sz="0" w:space="0" w:color="auto"/>
        <w:bottom w:val="none" w:sz="0" w:space="0" w:color="auto"/>
        <w:right w:val="none" w:sz="0" w:space="0" w:color="auto"/>
      </w:divBdr>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07657740">
      <w:bodyDiv w:val="1"/>
      <w:marLeft w:val="0"/>
      <w:marRight w:val="0"/>
      <w:marTop w:val="0"/>
      <w:marBottom w:val="0"/>
      <w:divBdr>
        <w:top w:val="none" w:sz="0" w:space="0" w:color="auto"/>
        <w:left w:val="none" w:sz="0" w:space="0" w:color="auto"/>
        <w:bottom w:val="none" w:sz="0" w:space="0" w:color="auto"/>
        <w:right w:val="none" w:sz="0" w:space="0" w:color="auto"/>
      </w:divBdr>
    </w:div>
    <w:div w:id="4171432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18654813">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24174512">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214">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7164315">
      <w:bodyDiv w:val="1"/>
      <w:marLeft w:val="0"/>
      <w:marRight w:val="0"/>
      <w:marTop w:val="0"/>
      <w:marBottom w:val="0"/>
      <w:divBdr>
        <w:top w:val="none" w:sz="0" w:space="0" w:color="auto"/>
        <w:left w:val="none" w:sz="0" w:space="0" w:color="auto"/>
        <w:bottom w:val="none" w:sz="0" w:space="0" w:color="auto"/>
        <w:right w:val="none" w:sz="0" w:space="0" w:color="auto"/>
      </w:divBdr>
    </w:div>
    <w:div w:id="1984308493">
      <w:bodyDiv w:val="1"/>
      <w:marLeft w:val="0"/>
      <w:marRight w:val="0"/>
      <w:marTop w:val="0"/>
      <w:marBottom w:val="0"/>
      <w:divBdr>
        <w:top w:val="none" w:sz="0" w:space="0" w:color="auto"/>
        <w:left w:val="none" w:sz="0" w:space="0" w:color="auto"/>
        <w:bottom w:val="none" w:sz="0" w:space="0" w:color="auto"/>
        <w:right w:val="none" w:sz="0" w:space="0" w:color="auto"/>
      </w:divBdr>
    </w:div>
    <w:div w:id="1994025089">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sticsrecycl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irk.heukelbach@topas.com"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9DCD-58AB-44CD-A891-2B1DBF72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25F81F16.dotm</Template>
  <TotalTime>0</TotalTime>
  <Pages>2</Pages>
  <Words>545</Words>
  <Characters>3434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3972</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4</cp:revision>
  <cp:lastPrinted>2021-08-20T14:49:00Z</cp:lastPrinted>
  <dcterms:created xsi:type="dcterms:W3CDTF">2021-08-24T13:05:00Z</dcterms:created>
  <dcterms:modified xsi:type="dcterms:W3CDTF">2021-09-02T08:21:00Z</dcterms:modified>
</cp:coreProperties>
</file>