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0ABDA" w14:textId="693F0941" w:rsidR="00C956B7" w:rsidRPr="00C956B7" w:rsidRDefault="0003305E" w:rsidP="00C956B7">
      <w:pPr>
        <w:spacing w:after="0" w:line="240" w:lineRule="auto"/>
        <w:contextualSpacing/>
        <w:jc w:val="right"/>
        <w:rPr>
          <w:rFonts w:cstheme="minorHAnsi"/>
          <w:kern w:val="2"/>
          <w:sz w:val="28"/>
          <w:szCs w:val="28"/>
          <w:lang w:val="en-US"/>
          <w14:ligatures w14:val="standardContextual"/>
        </w:rPr>
      </w:pPr>
      <w:r>
        <w:rPr>
          <w:rFonts w:cstheme="minorHAnsi"/>
          <w:kern w:val="2"/>
          <w:sz w:val="28"/>
          <w:szCs w:val="28"/>
          <w:lang w:val="en-US"/>
          <w14:ligatures w14:val="standardContextual"/>
        </w:rPr>
        <w:t xml:space="preserve">Press </w:t>
      </w:r>
      <w:r w:rsidR="007310D7">
        <w:rPr>
          <w:rFonts w:cstheme="minorHAnsi"/>
          <w:kern w:val="2"/>
          <w:sz w:val="28"/>
          <w:szCs w:val="28"/>
          <w:lang w:val="en-US"/>
          <w14:ligatures w14:val="standardContextual"/>
        </w:rPr>
        <w:t>Release</w:t>
      </w:r>
    </w:p>
    <w:p w14:paraId="286DA144" w14:textId="6A3658B4" w:rsidR="00C956B7" w:rsidRPr="00C956B7" w:rsidRDefault="00DD4609" w:rsidP="00C956B7">
      <w:pPr>
        <w:spacing w:before="360" w:after="0"/>
        <w:rPr>
          <w:rFonts w:cstheme="minorHAnsi"/>
          <w:b/>
          <w:bCs/>
          <w:kern w:val="2"/>
          <w:lang w:val="en-US"/>
          <w14:ligatures w14:val="standardContextual"/>
        </w:rPr>
      </w:pPr>
      <w:r w:rsidRPr="00DD4609">
        <w:rPr>
          <w:rFonts w:cstheme="minorHAnsi"/>
          <w:b/>
          <w:bCs/>
          <w:kern w:val="2"/>
          <w14:ligatures w14:val="standardContextual"/>
        </w:rPr>
        <w:t xml:space="preserve">New </w:t>
      </w:r>
      <w:r>
        <w:rPr>
          <w:rFonts w:cstheme="minorHAnsi"/>
          <w:b/>
          <w:bCs/>
          <w:kern w:val="2"/>
          <w14:ligatures w14:val="standardContextual"/>
        </w:rPr>
        <w:t>d</w:t>
      </w:r>
      <w:r w:rsidRPr="00DD4609">
        <w:rPr>
          <w:rFonts w:cstheme="minorHAnsi"/>
          <w:b/>
          <w:bCs/>
          <w:kern w:val="2"/>
          <w14:ligatures w14:val="standardContextual"/>
        </w:rPr>
        <w:t xml:space="preserve">evelopments for Oerlikon </w:t>
      </w:r>
      <w:proofErr w:type="spellStart"/>
      <w:r w:rsidRPr="00DD4609">
        <w:rPr>
          <w:rFonts w:cstheme="minorHAnsi"/>
          <w:b/>
          <w:bCs/>
          <w:kern w:val="2"/>
          <w14:ligatures w14:val="standardContextual"/>
        </w:rPr>
        <w:t>HRSflow’s</w:t>
      </w:r>
      <w:proofErr w:type="spellEnd"/>
      <w:r w:rsidRPr="00DD4609">
        <w:rPr>
          <w:rFonts w:cstheme="minorHAnsi"/>
          <w:b/>
          <w:bCs/>
          <w:kern w:val="2"/>
          <w14:ligatures w14:val="standardContextual"/>
        </w:rPr>
        <w:t xml:space="preserve"> </w:t>
      </w:r>
      <w:r>
        <w:rPr>
          <w:rFonts w:cstheme="minorHAnsi"/>
          <w:b/>
          <w:bCs/>
          <w:kern w:val="2"/>
          <w14:ligatures w14:val="standardContextual"/>
        </w:rPr>
        <w:t>p</w:t>
      </w:r>
      <w:r w:rsidRPr="00DD4609">
        <w:rPr>
          <w:rFonts w:cstheme="minorHAnsi"/>
          <w:b/>
          <w:bCs/>
          <w:kern w:val="2"/>
          <w14:ligatures w14:val="standardContextual"/>
        </w:rPr>
        <w:t>in-</w:t>
      </w:r>
      <w:r w:rsidR="00581627">
        <w:rPr>
          <w:rFonts w:cstheme="minorHAnsi"/>
          <w:b/>
          <w:bCs/>
          <w:kern w:val="2"/>
          <w14:ligatures w14:val="standardContextual"/>
        </w:rPr>
        <w:t>l</w:t>
      </w:r>
      <w:r w:rsidRPr="00DD4609">
        <w:rPr>
          <w:rFonts w:cstheme="minorHAnsi"/>
          <w:b/>
          <w:bCs/>
          <w:kern w:val="2"/>
          <w14:ligatures w14:val="standardContextual"/>
        </w:rPr>
        <w:t xml:space="preserve">ess </w:t>
      </w:r>
      <w:r>
        <w:rPr>
          <w:rFonts w:cstheme="minorHAnsi"/>
          <w:b/>
          <w:bCs/>
          <w:kern w:val="2"/>
          <w14:ligatures w14:val="standardContextual"/>
        </w:rPr>
        <w:t>v</w:t>
      </w:r>
      <w:r w:rsidRPr="00DD4609">
        <w:rPr>
          <w:rFonts w:cstheme="minorHAnsi"/>
          <w:b/>
          <w:bCs/>
          <w:kern w:val="2"/>
          <w14:ligatures w14:val="standardContextual"/>
        </w:rPr>
        <w:t xml:space="preserve">alve </w:t>
      </w:r>
      <w:r>
        <w:rPr>
          <w:rFonts w:cstheme="minorHAnsi"/>
          <w:b/>
          <w:bCs/>
          <w:kern w:val="2"/>
          <w14:ligatures w14:val="standardContextual"/>
        </w:rPr>
        <w:t>g</w:t>
      </w:r>
      <w:r w:rsidRPr="00DD4609">
        <w:rPr>
          <w:rFonts w:cstheme="minorHAnsi"/>
          <w:b/>
          <w:bCs/>
          <w:kern w:val="2"/>
          <w14:ligatures w14:val="standardContextual"/>
        </w:rPr>
        <w:t xml:space="preserve">ate </w:t>
      </w:r>
      <w:r>
        <w:rPr>
          <w:rFonts w:cstheme="minorHAnsi"/>
          <w:b/>
          <w:bCs/>
          <w:kern w:val="2"/>
          <w14:ligatures w14:val="standardContextual"/>
        </w:rPr>
        <w:t>s</w:t>
      </w:r>
      <w:r w:rsidRPr="00DD4609">
        <w:rPr>
          <w:rFonts w:cstheme="minorHAnsi"/>
          <w:b/>
          <w:bCs/>
          <w:kern w:val="2"/>
          <w14:ligatures w14:val="standardContextual"/>
        </w:rPr>
        <w:t>olution</w:t>
      </w:r>
    </w:p>
    <w:p w14:paraId="10D063BB" w14:textId="5263854B" w:rsidR="00C956B7" w:rsidRPr="00C956B7" w:rsidRDefault="00C9227B" w:rsidP="00C956B7">
      <w:pPr>
        <w:spacing w:line="240" w:lineRule="auto"/>
        <w:rPr>
          <w:rFonts w:eastAsia="Arial" w:cstheme="minorHAnsi"/>
          <w:b/>
          <w:bCs/>
          <w:color w:val="EB0000"/>
          <w:sz w:val="32"/>
          <w:szCs w:val="32"/>
          <w:lang w:val="en-US" w:eastAsia="ja-JP"/>
        </w:rPr>
      </w:pPr>
      <w:r w:rsidRPr="00C9227B">
        <w:rPr>
          <w:rFonts w:eastAsia="Arial" w:cstheme="minorHAnsi"/>
          <w:b/>
          <w:bCs/>
          <w:color w:val="EB0000"/>
          <w:sz w:val="32"/>
          <w:szCs w:val="32"/>
          <w:lang w:val="en-US" w:eastAsia="ja-JP"/>
        </w:rPr>
        <w:t>STARgate HRS</w:t>
      </w:r>
      <w:r>
        <w:rPr>
          <w:rFonts w:eastAsia="Arial" w:cstheme="minorHAnsi"/>
          <w:b/>
          <w:bCs/>
          <w:color w:val="EB0000"/>
          <w:sz w:val="32"/>
          <w:szCs w:val="32"/>
          <w:lang w:val="en-US" w:eastAsia="ja-JP"/>
        </w:rPr>
        <w:t>™</w:t>
      </w:r>
      <w:r w:rsidRPr="00C9227B">
        <w:rPr>
          <w:rFonts w:eastAsia="Arial" w:cstheme="minorHAnsi"/>
          <w:b/>
          <w:bCs/>
          <w:color w:val="EB0000"/>
          <w:sz w:val="32"/>
          <w:szCs w:val="32"/>
          <w:lang w:val="en-US" w:eastAsia="ja-JP"/>
        </w:rPr>
        <w:t xml:space="preserve"> </w:t>
      </w:r>
      <w:proofErr w:type="gramStart"/>
      <w:r w:rsidR="00EE50FD">
        <w:rPr>
          <w:rFonts w:eastAsia="Arial" w:cstheme="minorHAnsi"/>
          <w:b/>
          <w:bCs/>
          <w:color w:val="EB0000"/>
          <w:sz w:val="32"/>
          <w:szCs w:val="32"/>
          <w:lang w:val="en-US" w:eastAsia="ja-JP"/>
        </w:rPr>
        <w:t>o</w:t>
      </w:r>
      <w:r w:rsidRPr="00C9227B">
        <w:rPr>
          <w:rFonts w:eastAsia="Arial" w:cstheme="minorHAnsi"/>
          <w:b/>
          <w:bCs/>
          <w:color w:val="EB0000"/>
          <w:sz w:val="32"/>
          <w:szCs w:val="32"/>
          <w:lang w:val="en-US" w:eastAsia="ja-JP"/>
        </w:rPr>
        <w:t xml:space="preserve">pens </w:t>
      </w:r>
      <w:r w:rsidR="00EE50FD">
        <w:rPr>
          <w:rFonts w:eastAsia="Arial" w:cstheme="minorHAnsi"/>
          <w:b/>
          <w:bCs/>
          <w:color w:val="EB0000"/>
          <w:sz w:val="32"/>
          <w:szCs w:val="32"/>
          <w:lang w:val="en-US" w:eastAsia="ja-JP"/>
        </w:rPr>
        <w:t>u</w:t>
      </w:r>
      <w:r w:rsidRPr="00C9227B">
        <w:rPr>
          <w:rFonts w:eastAsia="Arial" w:cstheme="minorHAnsi"/>
          <w:b/>
          <w:bCs/>
          <w:color w:val="EB0000"/>
          <w:sz w:val="32"/>
          <w:szCs w:val="32"/>
          <w:lang w:val="en-US" w:eastAsia="ja-JP"/>
        </w:rPr>
        <w:t>p</w:t>
      </w:r>
      <w:proofErr w:type="gramEnd"/>
      <w:r w:rsidRPr="00C9227B">
        <w:rPr>
          <w:rFonts w:eastAsia="Arial" w:cstheme="minorHAnsi"/>
          <w:b/>
          <w:bCs/>
          <w:color w:val="EB0000"/>
          <w:sz w:val="32"/>
          <w:szCs w:val="32"/>
          <w:lang w:val="en-US" w:eastAsia="ja-JP"/>
        </w:rPr>
        <w:t xml:space="preserve"> </w:t>
      </w:r>
      <w:r w:rsidR="00EE50FD">
        <w:rPr>
          <w:rFonts w:eastAsia="Arial" w:cstheme="minorHAnsi"/>
          <w:b/>
          <w:bCs/>
          <w:color w:val="EB0000"/>
          <w:sz w:val="32"/>
          <w:szCs w:val="32"/>
          <w:lang w:val="en-US" w:eastAsia="ja-JP"/>
        </w:rPr>
        <w:t>n</w:t>
      </w:r>
      <w:r w:rsidRPr="00C9227B">
        <w:rPr>
          <w:rFonts w:eastAsia="Arial" w:cstheme="minorHAnsi"/>
          <w:b/>
          <w:bCs/>
          <w:color w:val="EB0000"/>
          <w:sz w:val="32"/>
          <w:szCs w:val="32"/>
          <w:lang w:val="en-US" w:eastAsia="ja-JP"/>
        </w:rPr>
        <w:t xml:space="preserve">ew </w:t>
      </w:r>
      <w:r w:rsidR="00EE50FD">
        <w:rPr>
          <w:rFonts w:eastAsia="Arial" w:cstheme="minorHAnsi"/>
          <w:b/>
          <w:bCs/>
          <w:color w:val="EB0000"/>
          <w:sz w:val="32"/>
          <w:szCs w:val="32"/>
          <w:lang w:val="en-US" w:eastAsia="ja-JP"/>
        </w:rPr>
        <w:t>p</w:t>
      </w:r>
      <w:r w:rsidRPr="00C9227B">
        <w:rPr>
          <w:rFonts w:eastAsia="Arial" w:cstheme="minorHAnsi"/>
          <w:b/>
          <w:bCs/>
          <w:color w:val="EB0000"/>
          <w:sz w:val="32"/>
          <w:szCs w:val="32"/>
          <w:lang w:val="en-US" w:eastAsia="ja-JP"/>
        </w:rPr>
        <w:t xml:space="preserve">ossibilities for </w:t>
      </w:r>
      <w:r w:rsidR="00EE50FD">
        <w:rPr>
          <w:rFonts w:eastAsia="Arial" w:cstheme="minorHAnsi"/>
          <w:b/>
          <w:bCs/>
          <w:color w:val="EB0000"/>
          <w:sz w:val="32"/>
          <w:szCs w:val="32"/>
          <w:lang w:val="en-US" w:eastAsia="ja-JP"/>
        </w:rPr>
        <w:t>p</w:t>
      </w:r>
      <w:r w:rsidRPr="00C9227B">
        <w:rPr>
          <w:rFonts w:eastAsia="Arial" w:cstheme="minorHAnsi"/>
          <w:b/>
          <w:bCs/>
          <w:color w:val="EB0000"/>
          <w:sz w:val="32"/>
          <w:szCs w:val="32"/>
          <w:lang w:val="en-US" w:eastAsia="ja-JP"/>
        </w:rPr>
        <w:t xml:space="preserve">olymer </w:t>
      </w:r>
      <w:r w:rsidR="00EE50FD">
        <w:rPr>
          <w:rFonts w:eastAsia="Arial" w:cstheme="minorHAnsi"/>
          <w:b/>
          <w:bCs/>
          <w:color w:val="EB0000"/>
          <w:sz w:val="32"/>
          <w:szCs w:val="32"/>
          <w:lang w:val="en-US" w:eastAsia="ja-JP"/>
        </w:rPr>
        <w:t>p</w:t>
      </w:r>
      <w:r w:rsidRPr="00C9227B">
        <w:rPr>
          <w:rFonts w:eastAsia="Arial" w:cstheme="minorHAnsi"/>
          <w:b/>
          <w:bCs/>
          <w:color w:val="EB0000"/>
          <w:sz w:val="32"/>
          <w:szCs w:val="32"/>
          <w:lang w:val="en-US" w:eastAsia="ja-JP"/>
        </w:rPr>
        <w:t xml:space="preserve">rocessing and </w:t>
      </w:r>
      <w:r w:rsidR="00EE50FD">
        <w:rPr>
          <w:rFonts w:eastAsia="Arial" w:cstheme="minorHAnsi"/>
          <w:b/>
          <w:bCs/>
          <w:color w:val="EB0000"/>
          <w:sz w:val="32"/>
          <w:szCs w:val="32"/>
          <w:lang w:val="en-US" w:eastAsia="ja-JP"/>
        </w:rPr>
        <w:t>a</w:t>
      </w:r>
      <w:r w:rsidRPr="00C9227B">
        <w:rPr>
          <w:rFonts w:eastAsia="Arial" w:cstheme="minorHAnsi"/>
          <w:b/>
          <w:bCs/>
          <w:color w:val="EB0000"/>
          <w:sz w:val="32"/>
          <w:szCs w:val="32"/>
          <w:lang w:val="en-US" w:eastAsia="ja-JP"/>
        </w:rPr>
        <w:t>pplications</w:t>
      </w:r>
    </w:p>
    <w:p w14:paraId="71CD8670" w14:textId="77777777" w:rsidR="00F70B32" w:rsidRDefault="003D16D3" w:rsidP="00D86428">
      <w:pPr>
        <w:spacing w:before="120" w:after="0"/>
        <w:rPr>
          <w:rFonts w:cstheme="minorHAnsi"/>
          <w:b/>
          <w:bCs/>
          <w:kern w:val="2"/>
          <w14:ligatures w14:val="standardContextual"/>
        </w:rPr>
      </w:pPr>
      <w:r w:rsidRPr="003D16D3">
        <w:rPr>
          <w:rFonts w:cstheme="minorHAnsi"/>
          <w:b/>
          <w:bCs/>
          <w:kern w:val="2"/>
          <w14:ligatures w14:val="standardContextual"/>
        </w:rPr>
        <w:t>Friedrichshafen, Germany, October 2026 – STARgate HRS™ hot runner technology, a revolutionary solution featuring a diaphragm-based gate shut-off system for precise control of melt flow into the cavity, is expanding its application range to cover an even wider variety of materials and applications.</w:t>
      </w:r>
    </w:p>
    <w:p w14:paraId="16165FB5" w14:textId="77777777" w:rsidR="008E7844" w:rsidRPr="008E7844" w:rsidRDefault="008E7844" w:rsidP="008E7844">
      <w:pPr>
        <w:spacing w:before="240" w:after="0"/>
        <w:rPr>
          <w:rFonts w:cstheme="minorHAnsi"/>
          <w:bCs/>
        </w:rPr>
      </w:pPr>
      <w:r w:rsidRPr="008E7844">
        <w:rPr>
          <w:rFonts w:cstheme="minorHAnsi"/>
          <w:bCs/>
        </w:rPr>
        <w:t>The STARgate HRS™ hot-runner nozzle concept has been expanded beyond traditional PP and r-PP packaging applications. The pin-less valve gate solution is now also suitable for the injection molding of additional resins, including PMMA, ABS, PS, HDPE, LDPE, and filled polymers, extending its use across a wide range of applications and market segments. It is also suitable for components ranging from 40 grams to 2.5 kg.</w:t>
      </w:r>
    </w:p>
    <w:p w14:paraId="73624D03" w14:textId="5D292E9D" w:rsidR="008E7844" w:rsidRPr="00DD0BA7" w:rsidRDefault="008E7844" w:rsidP="008E7844">
      <w:pPr>
        <w:spacing w:before="240" w:after="0"/>
        <w:rPr>
          <w:rFonts w:cstheme="minorHAnsi"/>
          <w:bCs/>
        </w:rPr>
      </w:pPr>
      <w:r w:rsidRPr="008E7844">
        <w:rPr>
          <w:rFonts w:cstheme="minorHAnsi"/>
          <w:bCs/>
        </w:rPr>
        <w:t>Compared to conventional solutions, the STARgate HRS™ diaphragm concept provides optimized cooling performance, enabling cycle-time reductions of up to 20% and, consequently, higher productivity. In addition, the free</w:t>
      </w:r>
      <w:r w:rsidRPr="00DD0BA7">
        <w:rPr>
          <w:rFonts w:cstheme="minorHAnsi"/>
          <w:bCs/>
        </w:rPr>
        <w:t xml:space="preserve">-flow design </w:t>
      </w:r>
      <w:r w:rsidR="002F5A53" w:rsidRPr="00DD0BA7">
        <w:rPr>
          <w:rFonts w:cstheme="minorHAnsi"/>
          <w:bCs/>
        </w:rPr>
        <w:t xml:space="preserve">in the nozzle </w:t>
      </w:r>
      <w:r w:rsidRPr="00DD0BA7">
        <w:rPr>
          <w:rFonts w:cstheme="minorHAnsi"/>
          <w:bCs/>
        </w:rPr>
        <w:t xml:space="preserve">ensures smoother plastic flow at a consistent melt velocity while minimizing stagnation areas. This allows faster </w:t>
      </w:r>
      <w:proofErr w:type="spellStart"/>
      <w:r w:rsidRPr="00DD0BA7">
        <w:rPr>
          <w:rFonts w:cstheme="minorHAnsi"/>
          <w:bCs/>
        </w:rPr>
        <w:t>color</w:t>
      </w:r>
      <w:proofErr w:type="spellEnd"/>
      <w:r w:rsidRPr="00DD0BA7">
        <w:rPr>
          <w:rFonts w:cstheme="minorHAnsi"/>
          <w:bCs/>
        </w:rPr>
        <w:t xml:space="preserve"> changes, resulting in lower scrap rates.</w:t>
      </w:r>
    </w:p>
    <w:p w14:paraId="1D315704" w14:textId="77777777" w:rsidR="008E7844" w:rsidRPr="00DD0BA7" w:rsidRDefault="008E7844" w:rsidP="008E7844">
      <w:pPr>
        <w:spacing w:before="240" w:after="0"/>
        <w:rPr>
          <w:rFonts w:cstheme="minorHAnsi"/>
          <w:bCs/>
        </w:rPr>
      </w:pPr>
      <w:r w:rsidRPr="00DD0BA7">
        <w:rPr>
          <w:rFonts w:cstheme="minorHAnsi"/>
          <w:bCs/>
        </w:rPr>
        <w:t xml:space="preserve">Experience at the Oerlikon HRSflow R&amp;D Technical </w:t>
      </w:r>
      <w:proofErr w:type="spellStart"/>
      <w:r w:rsidRPr="00DD0BA7">
        <w:rPr>
          <w:rFonts w:cstheme="minorHAnsi"/>
          <w:bCs/>
        </w:rPr>
        <w:t>Center</w:t>
      </w:r>
      <w:proofErr w:type="spellEnd"/>
      <w:r w:rsidRPr="00DD0BA7">
        <w:rPr>
          <w:rFonts w:cstheme="minorHAnsi"/>
          <w:bCs/>
        </w:rPr>
        <w:t xml:space="preserve"> shows that, with innovative STARgate HRS™ technology, part weight reductions of up to 17% can be achieved. By enabling more efficient and uniform filling, and in combination with optimized application engineering, mold design, and injection molding machine settings, the technology allows wall thickness to be reduced, resulting in lighter parts.</w:t>
      </w:r>
    </w:p>
    <w:p w14:paraId="08E3EFBA" w14:textId="3C841E74" w:rsidR="008E7844" w:rsidRPr="008E7844" w:rsidRDefault="008E7844" w:rsidP="008E7844">
      <w:pPr>
        <w:spacing w:before="240" w:after="0"/>
        <w:rPr>
          <w:rFonts w:cstheme="minorHAnsi"/>
          <w:bCs/>
        </w:rPr>
      </w:pPr>
      <w:r w:rsidRPr="00DD0BA7">
        <w:rPr>
          <w:rFonts w:cstheme="minorHAnsi"/>
          <w:bCs/>
        </w:rPr>
        <w:t>Its innovative design eliminates the need for actuator installation space, which in conventional systems is typically positioned axially above the valve pins, allowing for</w:t>
      </w:r>
      <w:r w:rsidR="007B03BE" w:rsidRPr="00DD0BA7">
        <w:rPr>
          <w:rFonts w:cstheme="minorHAnsi"/>
          <w:bCs/>
        </w:rPr>
        <w:t xml:space="preserve"> reduced tool sta</w:t>
      </w:r>
      <w:r w:rsidR="00914037" w:rsidRPr="00DD0BA7">
        <w:rPr>
          <w:rFonts w:cstheme="minorHAnsi"/>
          <w:bCs/>
        </w:rPr>
        <w:t>ck</w:t>
      </w:r>
      <w:r w:rsidR="00F175B6" w:rsidRPr="00DD0BA7">
        <w:rPr>
          <w:rFonts w:cstheme="minorHAnsi"/>
          <w:bCs/>
        </w:rPr>
        <w:t xml:space="preserve"> height</w:t>
      </w:r>
      <w:r w:rsidRPr="00DD0BA7">
        <w:rPr>
          <w:rFonts w:cstheme="minorHAnsi"/>
          <w:bCs/>
        </w:rPr>
        <w:t>. In addition, the pin-less configuration enables smaller nozzle diameters and reduced mold pocket sizes, making STARgate HRS™ an exceptionally compact solution.</w:t>
      </w:r>
    </w:p>
    <w:p w14:paraId="7AA80854" w14:textId="77777777" w:rsidR="000857BA" w:rsidRPr="000857BA" w:rsidRDefault="000857BA" w:rsidP="000857BA">
      <w:pPr>
        <w:spacing w:before="240" w:after="0"/>
        <w:rPr>
          <w:rFonts w:cstheme="minorHAnsi"/>
          <w:b/>
          <w:bCs/>
          <w:kern w:val="2"/>
          <w14:ligatures w14:val="standardContextual"/>
        </w:rPr>
      </w:pPr>
      <w:r w:rsidRPr="000857BA">
        <w:rPr>
          <w:rFonts w:cstheme="minorHAnsi"/>
          <w:b/>
          <w:bCs/>
          <w:kern w:val="2"/>
          <w14:ligatures w14:val="standardContextual"/>
        </w:rPr>
        <w:t>A real case study presented at Flow Beyond 2026</w:t>
      </w:r>
    </w:p>
    <w:p w14:paraId="1B54694A" w14:textId="77777777" w:rsidR="000857BA" w:rsidRPr="00726C35" w:rsidRDefault="000857BA" w:rsidP="000857BA">
      <w:pPr>
        <w:spacing w:before="240" w:after="0"/>
        <w:rPr>
          <w:rFonts w:cstheme="minorHAnsi"/>
          <w:kern w:val="2"/>
          <w14:ligatures w14:val="standardContextual"/>
        </w:rPr>
      </w:pPr>
      <w:r w:rsidRPr="00726C35">
        <w:rPr>
          <w:rFonts w:cstheme="minorHAnsi"/>
          <w:kern w:val="2"/>
          <w14:ligatures w14:val="standardContextual"/>
        </w:rPr>
        <w:t xml:space="preserve">STARgate HRS™ was demonstrated live at Flow Beyond 2026, the international summit held in Italy in September. During a live production trial, a thin-wall 1.5-liter bucket made of r-PP was </w:t>
      </w:r>
      <w:proofErr w:type="spellStart"/>
      <w:r w:rsidRPr="00726C35">
        <w:rPr>
          <w:rFonts w:cstheme="minorHAnsi"/>
          <w:kern w:val="2"/>
          <w14:ligatures w14:val="standardContextual"/>
        </w:rPr>
        <w:t>molded</w:t>
      </w:r>
      <w:proofErr w:type="spellEnd"/>
      <w:r w:rsidRPr="00726C35">
        <w:rPr>
          <w:rFonts w:cstheme="minorHAnsi"/>
          <w:kern w:val="2"/>
          <w14:ligatures w14:val="standardContextual"/>
        </w:rPr>
        <w:t xml:space="preserve"> in a two-cavity tool developed by </w:t>
      </w:r>
      <w:proofErr w:type="spellStart"/>
      <w:r w:rsidRPr="00726C35">
        <w:rPr>
          <w:rFonts w:cstheme="minorHAnsi"/>
          <w:kern w:val="2"/>
          <w14:ligatures w14:val="standardContextual"/>
        </w:rPr>
        <w:t>Inmold</w:t>
      </w:r>
      <w:proofErr w:type="spellEnd"/>
      <w:r w:rsidRPr="00726C35">
        <w:rPr>
          <w:rFonts w:cstheme="minorHAnsi"/>
          <w:kern w:val="2"/>
          <w14:ligatures w14:val="standardContextual"/>
        </w:rPr>
        <w:t xml:space="preserve"> Group.</w:t>
      </w:r>
    </w:p>
    <w:p w14:paraId="10580F95" w14:textId="77777777" w:rsidR="000857BA" w:rsidRPr="00726C35" w:rsidRDefault="000857BA" w:rsidP="000857BA">
      <w:pPr>
        <w:spacing w:before="240" w:after="0"/>
        <w:rPr>
          <w:rFonts w:cstheme="minorHAnsi"/>
          <w:kern w:val="2"/>
          <w14:ligatures w14:val="standardContextual"/>
        </w:rPr>
      </w:pPr>
      <w:r w:rsidRPr="00726C35">
        <w:rPr>
          <w:rFonts w:cstheme="minorHAnsi"/>
          <w:kern w:val="2"/>
          <w14:ligatures w14:val="standardContextual"/>
        </w:rPr>
        <w:t>Thanks to the outstanding synergy between the injection molding machine, mold design, and hot runner system equipped with STARgate HRS™ technology, the 41-gram bucket achieved an ambitious cycle time of just 4.7 seconds without the use of a take-out plate, while delivering zero stringing and flawless part quality.</w:t>
      </w:r>
    </w:p>
    <w:p w14:paraId="1D5A767C" w14:textId="7920CF73" w:rsidR="000857BA" w:rsidRDefault="000857BA" w:rsidP="000857BA">
      <w:pPr>
        <w:spacing w:before="240" w:after="0"/>
        <w:rPr>
          <w:rFonts w:cstheme="minorHAnsi"/>
          <w:kern w:val="2"/>
          <w14:ligatures w14:val="standardContextual"/>
        </w:rPr>
      </w:pPr>
      <w:r w:rsidRPr="00726C35">
        <w:rPr>
          <w:rFonts w:cstheme="minorHAnsi"/>
          <w:kern w:val="2"/>
          <w14:ligatures w14:val="standardContextual"/>
        </w:rPr>
        <w:lastRenderedPageBreak/>
        <w:t xml:space="preserve">Project partners included ENGEL, </w:t>
      </w:r>
      <w:proofErr w:type="spellStart"/>
      <w:r w:rsidRPr="00726C35">
        <w:rPr>
          <w:rFonts w:cstheme="minorHAnsi"/>
          <w:kern w:val="2"/>
          <w14:ligatures w14:val="standardContextual"/>
        </w:rPr>
        <w:t>Guztech</w:t>
      </w:r>
      <w:proofErr w:type="spellEnd"/>
      <w:r w:rsidRPr="00726C35">
        <w:rPr>
          <w:rFonts w:cstheme="minorHAnsi"/>
          <w:kern w:val="2"/>
          <w14:ligatures w14:val="standardContextual"/>
        </w:rPr>
        <w:t xml:space="preserve"> Polymers, and </w:t>
      </w:r>
      <w:proofErr w:type="spellStart"/>
      <w:r w:rsidRPr="00726C35">
        <w:rPr>
          <w:rFonts w:cstheme="minorHAnsi"/>
          <w:kern w:val="2"/>
          <w14:ligatures w14:val="standardContextual"/>
        </w:rPr>
        <w:t>Inmold</w:t>
      </w:r>
      <w:proofErr w:type="spellEnd"/>
      <w:r w:rsidRPr="00726C35">
        <w:rPr>
          <w:rFonts w:cstheme="minorHAnsi"/>
          <w:kern w:val="2"/>
          <w14:ligatures w14:val="standardContextual"/>
        </w:rPr>
        <w:t xml:space="preserve"> Group. This achievement demonstrates that</w:t>
      </w:r>
      <w:r w:rsidR="00736C28">
        <w:rPr>
          <w:rFonts w:cstheme="minorHAnsi"/>
          <w:kern w:val="2"/>
          <w14:ligatures w14:val="standardContextual"/>
        </w:rPr>
        <w:t xml:space="preserve"> </w:t>
      </w:r>
      <w:r w:rsidR="00514CED">
        <w:rPr>
          <w:rFonts w:cstheme="minorHAnsi"/>
          <w:kern w:val="2"/>
          <w14:ligatures w14:val="standardContextual"/>
        </w:rPr>
        <w:t>when</w:t>
      </w:r>
      <w:r w:rsidR="007E5915">
        <w:rPr>
          <w:rFonts w:cstheme="minorHAnsi"/>
          <w:kern w:val="2"/>
          <w14:ligatures w14:val="standardContextual"/>
        </w:rPr>
        <w:t xml:space="preserve"> </w:t>
      </w:r>
      <w:r w:rsidR="00D7393B">
        <w:rPr>
          <w:rFonts w:cstheme="minorHAnsi"/>
          <w:kern w:val="2"/>
          <w14:ligatures w14:val="standardContextual"/>
        </w:rPr>
        <w:t xml:space="preserve">the </w:t>
      </w:r>
      <w:r w:rsidR="007C1F1E">
        <w:rPr>
          <w:rFonts w:cstheme="minorHAnsi"/>
          <w:kern w:val="2"/>
          <w14:ligatures w14:val="standardContextual"/>
        </w:rPr>
        <w:t>techn</w:t>
      </w:r>
      <w:r w:rsidR="006D515E">
        <w:rPr>
          <w:rFonts w:cstheme="minorHAnsi"/>
          <w:kern w:val="2"/>
          <w14:ligatures w14:val="standardContextual"/>
        </w:rPr>
        <w:t>ologie</w:t>
      </w:r>
      <w:r w:rsidR="000134F7">
        <w:rPr>
          <w:rFonts w:cstheme="minorHAnsi"/>
          <w:kern w:val="2"/>
          <w14:ligatures w14:val="standardContextual"/>
        </w:rPr>
        <w:t xml:space="preserve">s </w:t>
      </w:r>
      <w:r w:rsidR="0034302D">
        <w:rPr>
          <w:rFonts w:cstheme="minorHAnsi"/>
          <w:kern w:val="2"/>
          <w14:ligatures w14:val="standardContextual"/>
        </w:rPr>
        <w:t>in</w:t>
      </w:r>
      <w:r w:rsidR="00847324">
        <w:rPr>
          <w:rFonts w:cstheme="minorHAnsi"/>
          <w:kern w:val="2"/>
          <w14:ligatures w14:val="standardContextual"/>
        </w:rPr>
        <w:t xml:space="preserve">volved </w:t>
      </w:r>
      <w:r w:rsidR="00D817AD">
        <w:rPr>
          <w:rFonts w:cstheme="minorHAnsi"/>
          <w:kern w:val="2"/>
          <w14:ligatures w14:val="standardContextual"/>
        </w:rPr>
        <w:t xml:space="preserve">in </w:t>
      </w:r>
      <w:r w:rsidR="003A6A37">
        <w:rPr>
          <w:rFonts w:cstheme="minorHAnsi"/>
          <w:kern w:val="2"/>
          <w14:ligatures w14:val="standardContextual"/>
        </w:rPr>
        <w:t>the inje</w:t>
      </w:r>
      <w:r w:rsidR="00174566">
        <w:rPr>
          <w:rFonts w:cstheme="minorHAnsi"/>
          <w:kern w:val="2"/>
          <w14:ligatures w14:val="standardContextual"/>
        </w:rPr>
        <w:t xml:space="preserve">ction </w:t>
      </w:r>
      <w:r w:rsidR="00C37EC0">
        <w:rPr>
          <w:rFonts w:cstheme="minorHAnsi"/>
          <w:kern w:val="2"/>
          <w14:ligatures w14:val="standardContextual"/>
        </w:rPr>
        <w:t>mol</w:t>
      </w:r>
      <w:r w:rsidR="00114CEF">
        <w:rPr>
          <w:rFonts w:cstheme="minorHAnsi"/>
          <w:kern w:val="2"/>
          <w14:ligatures w14:val="standardContextual"/>
        </w:rPr>
        <w:t xml:space="preserve">ding </w:t>
      </w:r>
      <w:r w:rsidR="00BE0A93">
        <w:rPr>
          <w:rFonts w:cstheme="minorHAnsi"/>
          <w:kern w:val="2"/>
          <w14:ligatures w14:val="standardContextual"/>
        </w:rPr>
        <w:t>pr</w:t>
      </w:r>
      <w:r w:rsidR="00740959">
        <w:rPr>
          <w:rFonts w:cstheme="minorHAnsi"/>
          <w:kern w:val="2"/>
          <w14:ligatures w14:val="standardContextual"/>
        </w:rPr>
        <w:t>ocess</w:t>
      </w:r>
      <w:r w:rsidR="005572FC">
        <w:rPr>
          <w:rFonts w:cstheme="minorHAnsi"/>
          <w:kern w:val="2"/>
          <w14:ligatures w14:val="standardContextual"/>
        </w:rPr>
        <w:t xml:space="preserve"> </w:t>
      </w:r>
      <w:r w:rsidRPr="008073DA">
        <w:rPr>
          <w:rFonts w:cstheme="minorHAnsi"/>
          <w:kern w:val="2"/>
          <w14:ligatures w14:val="standardContextual"/>
        </w:rPr>
        <w:t>are</w:t>
      </w:r>
      <w:r w:rsidRPr="00726C35">
        <w:rPr>
          <w:rFonts w:cstheme="minorHAnsi"/>
          <w:kern w:val="2"/>
          <w14:ligatures w14:val="standardContextual"/>
        </w:rPr>
        <w:t xml:space="preserve"> perfectly matched, manufacturers can achieve a new level of productivity and process reliability without compromising product quality.</w:t>
      </w:r>
    </w:p>
    <w:p w14:paraId="491775D5" w14:textId="5E7A393F" w:rsidR="001C764B" w:rsidRDefault="007B1825" w:rsidP="000857BA">
      <w:pPr>
        <w:spacing w:before="240" w:after="0"/>
        <w:rPr>
          <w:rFonts w:cstheme="minorHAnsi"/>
          <w:kern w:val="2"/>
          <w14:ligatures w14:val="standardContextual"/>
        </w:rPr>
      </w:pPr>
      <w:r>
        <w:rPr>
          <w:noProof/>
        </w:rPr>
        <w:drawing>
          <wp:inline distT="0" distB="0" distL="0" distR="0" wp14:anchorId="7132FF12" wp14:editId="4A59856B">
            <wp:extent cx="5731510" cy="3223895"/>
            <wp:effectExtent l="0" t="0" r="2540" b="0"/>
            <wp:docPr id="1281523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6F3D115" w14:textId="0D1A5187" w:rsidR="007B1825" w:rsidRPr="00726C35" w:rsidRDefault="005B4F6A" w:rsidP="000857BA">
      <w:pPr>
        <w:spacing w:before="240" w:after="0"/>
        <w:rPr>
          <w:rFonts w:cstheme="minorHAnsi"/>
          <w:kern w:val="2"/>
          <w14:ligatures w14:val="standardContextual"/>
        </w:rPr>
      </w:pPr>
      <w:r w:rsidRPr="009A596B">
        <w:rPr>
          <w:rFonts w:cstheme="minorHAnsi"/>
          <w:i/>
          <w:iCs/>
          <w:kern w:val="2"/>
          <w14:ligatures w14:val="standardContextual"/>
        </w:rPr>
        <w:t>STARgate HRS™ expands its range of applications and materials, including PMMA, ABS, PS, HDPE, LDPE and filled polymers.</w:t>
      </w:r>
      <w:r>
        <w:rPr>
          <w:rFonts w:cstheme="minorHAnsi"/>
          <w:kern w:val="2"/>
          <w14:ligatures w14:val="standardContextual"/>
        </w:rPr>
        <w:t xml:space="preserve"> </w:t>
      </w:r>
      <w:r w:rsidR="00971B05" w:rsidRPr="009A596B">
        <w:rPr>
          <w:rFonts w:eastAsia="Times New Roman" w:cstheme="minorHAnsi"/>
          <w:i/>
          <w:iCs/>
          <w:sz w:val="20"/>
          <w:szCs w:val="20"/>
        </w:rPr>
        <w:t>© Oerlikon HRSflow</w:t>
      </w:r>
    </w:p>
    <w:p w14:paraId="1E8E5965" w14:textId="77777777" w:rsidR="00C956B7" w:rsidRPr="00C956B7" w:rsidRDefault="00C956B7" w:rsidP="00C956B7">
      <w:pPr>
        <w:spacing w:before="240" w:after="0" w:line="240" w:lineRule="auto"/>
        <w:rPr>
          <w:rFonts w:eastAsia="Arial" w:cstheme="minorHAnsi"/>
          <w:b/>
          <w:bCs/>
          <w:color w:val="000000" w:themeColor="text1"/>
          <w:kern w:val="2"/>
          <w:lang w:val="en-US"/>
          <w14:ligatures w14:val="standardContextual"/>
        </w:rPr>
      </w:pPr>
      <w:bookmarkStart w:id="0" w:name="_Hlk192062735"/>
      <w:r w:rsidRPr="00C956B7">
        <w:rPr>
          <w:rFonts w:eastAsia="Arial" w:cstheme="minorHAnsi"/>
          <w:b/>
          <w:bCs/>
          <w:color w:val="000000" w:themeColor="text1"/>
          <w:kern w:val="2"/>
          <w:lang w:val="en-US"/>
          <w14:ligatures w14:val="standardContextual"/>
        </w:rPr>
        <w:t>For further information, please contact:</w:t>
      </w:r>
    </w:p>
    <w:tbl>
      <w:tblPr>
        <w:tblStyle w:val="Tabellenraster"/>
        <w:tblW w:w="0" w:type="auto"/>
        <w:tblLayout w:type="fixed"/>
        <w:tblLook w:val="04A0" w:firstRow="1" w:lastRow="0" w:firstColumn="1" w:lastColumn="0" w:noHBand="0" w:noVBand="1"/>
      </w:tblPr>
      <w:tblGrid>
        <w:gridCol w:w="4583"/>
        <w:gridCol w:w="4583"/>
      </w:tblGrid>
      <w:tr w:rsidR="00C956B7" w:rsidRPr="00BC5D38" w14:paraId="568FA921" w14:textId="77777777" w:rsidTr="00DF7657">
        <w:trPr>
          <w:trHeight w:val="300"/>
        </w:trPr>
        <w:tc>
          <w:tcPr>
            <w:tcW w:w="4583" w:type="dxa"/>
            <w:tcMar>
              <w:left w:w="108" w:type="dxa"/>
              <w:right w:w="108" w:type="dxa"/>
            </w:tcMar>
          </w:tcPr>
          <w:p w14:paraId="56084A30" w14:textId="77777777" w:rsidR="00C956B7" w:rsidRPr="00C956B7" w:rsidRDefault="00C956B7" w:rsidP="00C956B7">
            <w:pPr>
              <w:jc w:val="both"/>
              <w:rPr>
                <w:rFonts w:cstheme="minorHAnsi"/>
                <w:kern w:val="2"/>
                <w14:ligatures w14:val="standardContextual"/>
              </w:rPr>
            </w:pPr>
            <w:r w:rsidRPr="00C956B7">
              <w:rPr>
                <w:rFonts w:eastAsia="Arial" w:cstheme="minorHAnsi"/>
                <w:kern w:val="2"/>
                <w14:ligatures w14:val="standardContextual"/>
              </w:rPr>
              <w:t>Chiara Montagner</w:t>
            </w:r>
          </w:p>
          <w:p w14:paraId="1712ECC1" w14:textId="77777777" w:rsidR="00C956B7" w:rsidRPr="00C956B7" w:rsidRDefault="00C956B7" w:rsidP="00C956B7">
            <w:pPr>
              <w:jc w:val="both"/>
              <w:rPr>
                <w:rFonts w:cstheme="minorHAnsi"/>
                <w:kern w:val="2"/>
                <w14:ligatures w14:val="standardContextual"/>
              </w:rPr>
            </w:pPr>
            <w:r w:rsidRPr="00C956B7">
              <w:rPr>
                <w:rFonts w:eastAsia="Arial" w:cstheme="minorHAnsi"/>
                <w:kern w:val="2"/>
                <w14:ligatures w14:val="standardContextual"/>
              </w:rPr>
              <w:t xml:space="preserve">Marketing &amp; Communication Manager </w:t>
            </w:r>
          </w:p>
          <w:p w14:paraId="4C116F5F" w14:textId="77777777" w:rsidR="00C956B7" w:rsidRPr="00C956B7" w:rsidRDefault="00C956B7" w:rsidP="00C956B7">
            <w:pPr>
              <w:jc w:val="both"/>
              <w:rPr>
                <w:rFonts w:cstheme="minorHAnsi"/>
                <w:kern w:val="2"/>
                <w14:ligatures w14:val="standardContextual"/>
              </w:rPr>
            </w:pPr>
            <w:r w:rsidRPr="00C956B7">
              <w:rPr>
                <w:rFonts w:eastAsia="Arial" w:cstheme="minorHAnsi"/>
                <w:kern w:val="2"/>
                <w14:ligatures w14:val="standardContextual"/>
              </w:rPr>
              <w:t>Oerlikon HRSflow</w:t>
            </w:r>
          </w:p>
          <w:p w14:paraId="53EA5F62" w14:textId="77777777" w:rsidR="00C956B7" w:rsidRPr="00C956B7" w:rsidRDefault="00C956B7" w:rsidP="00C956B7">
            <w:pPr>
              <w:jc w:val="both"/>
              <w:rPr>
                <w:rFonts w:cstheme="minorHAnsi"/>
                <w:kern w:val="2"/>
                <w:lang w:val="de-DE"/>
                <w14:ligatures w14:val="standardContextual"/>
              </w:rPr>
            </w:pPr>
            <w:r w:rsidRPr="00C956B7">
              <w:rPr>
                <w:rFonts w:eastAsia="Arial" w:cstheme="minorHAnsi"/>
                <w:kern w:val="2"/>
                <w:lang w:val="de-DE"/>
                <w14:ligatures w14:val="standardContextual"/>
              </w:rPr>
              <w:t>Tel: +39 0422 750 127</w:t>
            </w:r>
          </w:p>
          <w:p w14:paraId="615A2491" w14:textId="77777777" w:rsidR="00C956B7" w:rsidRPr="00C956B7" w:rsidRDefault="00C956B7" w:rsidP="00C956B7">
            <w:pPr>
              <w:jc w:val="both"/>
              <w:rPr>
                <w:rFonts w:cstheme="minorHAnsi"/>
                <w:kern w:val="2"/>
                <w:lang w:val="de-DE"/>
                <w14:ligatures w14:val="standardContextual"/>
              </w:rPr>
            </w:pPr>
            <w:hyperlink r:id="rId10">
              <w:r w:rsidRPr="00C956B7">
                <w:rPr>
                  <w:rFonts w:eastAsia="Arial" w:cstheme="minorHAnsi"/>
                  <w:color w:val="0563C1" w:themeColor="hyperlink"/>
                  <w:kern w:val="2"/>
                  <w:u w:val="single"/>
                  <w:lang w:val="de-DE"/>
                  <w14:ligatures w14:val="standardContextual"/>
                </w:rPr>
                <w:t>chiara.montagner@oerlikon.com</w:t>
              </w:r>
            </w:hyperlink>
          </w:p>
          <w:p w14:paraId="5A39B314" w14:textId="77777777" w:rsidR="00C956B7" w:rsidRPr="00C956B7" w:rsidRDefault="00C956B7" w:rsidP="00C956B7">
            <w:pPr>
              <w:spacing w:after="120"/>
              <w:jc w:val="both"/>
              <w:rPr>
                <w:rFonts w:cstheme="minorHAnsi"/>
                <w:kern w:val="2"/>
                <w:lang w:val="de-DE"/>
                <w14:ligatures w14:val="standardContextual"/>
              </w:rPr>
            </w:pPr>
            <w:hyperlink r:id="rId11">
              <w:r w:rsidRPr="00C956B7">
                <w:rPr>
                  <w:rFonts w:eastAsia="Arial" w:cstheme="minorHAnsi"/>
                  <w:color w:val="0563C1" w:themeColor="hyperlink"/>
                  <w:kern w:val="2"/>
                  <w:u w:val="single"/>
                  <w:lang w:val="de-DE"/>
                  <w14:ligatures w14:val="standardContextual"/>
                </w:rPr>
                <w:t>www.oerlikon.com/hrsflow</w:t>
              </w:r>
            </w:hyperlink>
          </w:p>
        </w:tc>
        <w:tc>
          <w:tcPr>
            <w:tcW w:w="4583" w:type="dxa"/>
            <w:tcMar>
              <w:left w:w="108" w:type="dxa"/>
              <w:right w:w="108" w:type="dxa"/>
            </w:tcMar>
          </w:tcPr>
          <w:p w14:paraId="7297EF63" w14:textId="77777777" w:rsidR="00C956B7" w:rsidRPr="00C956B7" w:rsidRDefault="00C956B7" w:rsidP="00C956B7">
            <w:pPr>
              <w:jc w:val="both"/>
              <w:rPr>
                <w:rFonts w:cstheme="minorHAnsi"/>
                <w:kern w:val="2"/>
                <w14:ligatures w14:val="standardContextual"/>
              </w:rPr>
            </w:pPr>
            <w:r w:rsidRPr="00C956B7">
              <w:rPr>
                <w:rFonts w:eastAsia="Arial" w:cstheme="minorHAnsi"/>
                <w:kern w:val="2"/>
                <w14:ligatures w14:val="standardContextual"/>
              </w:rPr>
              <w:t>Erica Gaggiato</w:t>
            </w:r>
          </w:p>
          <w:p w14:paraId="49C7A319" w14:textId="77777777" w:rsidR="00C956B7" w:rsidRPr="00C956B7" w:rsidRDefault="00C956B7" w:rsidP="00C956B7">
            <w:pPr>
              <w:jc w:val="both"/>
              <w:rPr>
                <w:rFonts w:cstheme="minorHAnsi"/>
                <w:kern w:val="2"/>
                <w14:ligatures w14:val="standardContextual"/>
              </w:rPr>
            </w:pPr>
            <w:r w:rsidRPr="00C956B7">
              <w:rPr>
                <w:rFonts w:eastAsia="Arial" w:cstheme="minorHAnsi"/>
                <w:kern w:val="2"/>
                <w14:ligatures w14:val="standardContextual"/>
              </w:rPr>
              <w:t>Marketing &amp; Communication Specialist</w:t>
            </w:r>
          </w:p>
          <w:p w14:paraId="0AC8D2EC" w14:textId="77777777" w:rsidR="00C956B7" w:rsidRPr="00C956B7" w:rsidRDefault="00C956B7" w:rsidP="00C956B7">
            <w:pPr>
              <w:jc w:val="both"/>
              <w:rPr>
                <w:rFonts w:cstheme="minorHAnsi"/>
                <w:kern w:val="2"/>
                <w14:ligatures w14:val="standardContextual"/>
              </w:rPr>
            </w:pPr>
            <w:r w:rsidRPr="00C956B7">
              <w:rPr>
                <w:rFonts w:eastAsia="Arial" w:cstheme="minorHAnsi"/>
                <w:kern w:val="2"/>
                <w14:ligatures w14:val="standardContextual"/>
              </w:rPr>
              <w:t>Oerlikon HRSflow</w:t>
            </w:r>
          </w:p>
          <w:p w14:paraId="55505D3B" w14:textId="77777777" w:rsidR="00C956B7" w:rsidRPr="00BC5D38" w:rsidRDefault="00C956B7" w:rsidP="00C956B7">
            <w:pPr>
              <w:jc w:val="both"/>
              <w:rPr>
                <w:rFonts w:cstheme="minorHAnsi"/>
                <w:kern w:val="2"/>
                <w:lang w:val="en-GB"/>
                <w14:ligatures w14:val="standardContextual"/>
              </w:rPr>
            </w:pPr>
            <w:r w:rsidRPr="00BC5D38">
              <w:rPr>
                <w:rFonts w:eastAsia="Arial" w:cstheme="minorHAnsi"/>
                <w:kern w:val="2"/>
                <w:lang w:val="en-GB"/>
                <w14:ligatures w14:val="standardContextual"/>
              </w:rPr>
              <w:t>Tel: +39 0422 750 120</w:t>
            </w:r>
          </w:p>
          <w:p w14:paraId="071594CD" w14:textId="77777777" w:rsidR="00C956B7" w:rsidRPr="00BC5D38" w:rsidRDefault="00C956B7" w:rsidP="00C956B7">
            <w:pPr>
              <w:jc w:val="both"/>
              <w:rPr>
                <w:rFonts w:cstheme="minorHAnsi"/>
                <w:kern w:val="2"/>
                <w:lang w:val="en-GB"/>
                <w14:ligatures w14:val="standardContextual"/>
              </w:rPr>
            </w:pPr>
            <w:hyperlink r:id="rId12" w:history="1">
              <w:r w:rsidRPr="00BC5D38">
                <w:rPr>
                  <w:rFonts w:eastAsia="Arial" w:cstheme="minorHAnsi"/>
                  <w:color w:val="0563C1" w:themeColor="hyperlink"/>
                  <w:kern w:val="2"/>
                  <w:u w:val="single"/>
                  <w:lang w:val="en-GB"/>
                  <w14:ligatures w14:val="standardContextual"/>
                </w:rPr>
                <w:t>erica.gaggiato@oerlikon.com</w:t>
              </w:r>
            </w:hyperlink>
          </w:p>
          <w:p w14:paraId="61FA3352" w14:textId="77777777" w:rsidR="00C956B7" w:rsidRPr="00BC5D38" w:rsidRDefault="00C956B7" w:rsidP="00C956B7">
            <w:pPr>
              <w:jc w:val="both"/>
              <w:rPr>
                <w:rFonts w:cstheme="minorHAnsi"/>
                <w:kern w:val="2"/>
                <w:lang w:val="en-GB"/>
                <w14:ligatures w14:val="standardContextual"/>
              </w:rPr>
            </w:pPr>
            <w:hyperlink r:id="rId13">
              <w:r w:rsidRPr="00BC5D38">
                <w:rPr>
                  <w:rFonts w:eastAsia="Arial" w:cstheme="minorHAnsi"/>
                  <w:color w:val="0563C1" w:themeColor="hyperlink"/>
                  <w:kern w:val="2"/>
                  <w:u w:val="single"/>
                  <w:lang w:val="en-GB"/>
                  <w14:ligatures w14:val="standardContextual"/>
                </w:rPr>
                <w:t>www.oerlikon.com/hrsflow</w:t>
              </w:r>
            </w:hyperlink>
          </w:p>
        </w:tc>
      </w:tr>
    </w:tbl>
    <w:p w14:paraId="605836BF" w14:textId="77777777" w:rsidR="00C956B7" w:rsidRPr="00C956B7" w:rsidRDefault="00C956B7" w:rsidP="00C956B7">
      <w:pPr>
        <w:spacing w:before="240" w:after="0" w:line="240" w:lineRule="auto"/>
        <w:rPr>
          <w:rFonts w:cstheme="minorHAnsi"/>
          <w:kern w:val="2"/>
          <w:lang w:val="en-US"/>
          <w14:ligatures w14:val="standardContextual"/>
        </w:rPr>
      </w:pPr>
      <w:r w:rsidRPr="00C956B7">
        <w:rPr>
          <w:rFonts w:eastAsia="Arial" w:cstheme="minorHAnsi"/>
          <w:b/>
          <w:bCs/>
          <w:color w:val="000000" w:themeColor="text1"/>
          <w:kern w:val="2"/>
          <w:lang w:val="en-US"/>
          <w14:ligatures w14:val="standardContextual"/>
        </w:rPr>
        <w:t>Editorial contact and please send voucher copies to:</w:t>
      </w:r>
    </w:p>
    <w:p w14:paraId="33391C79" w14:textId="77777777" w:rsidR="00C956B7" w:rsidRPr="00C956B7" w:rsidRDefault="00C956B7" w:rsidP="00C956B7">
      <w:pPr>
        <w:spacing w:after="0" w:line="240" w:lineRule="auto"/>
        <w:ind w:firstLine="142"/>
        <w:rPr>
          <w:rFonts w:cstheme="minorHAnsi"/>
          <w:kern w:val="2"/>
          <w:lang w:val="de-DE"/>
          <w14:ligatures w14:val="standardContextual"/>
        </w:rPr>
      </w:pPr>
      <w:r w:rsidRPr="00C956B7">
        <w:rPr>
          <w:rFonts w:eastAsia="Arial" w:cstheme="minorHAnsi"/>
          <w:kern w:val="2"/>
          <w:lang w:val="de-DE"/>
          <w14:ligatures w14:val="standardContextual"/>
        </w:rPr>
        <w:t>Dr.-Ing. Jörg Wolters</w:t>
      </w:r>
    </w:p>
    <w:p w14:paraId="310614B1" w14:textId="77777777" w:rsidR="00C956B7" w:rsidRPr="00C956B7" w:rsidRDefault="00C956B7" w:rsidP="00C956B7">
      <w:pPr>
        <w:spacing w:after="0" w:line="240" w:lineRule="auto"/>
        <w:ind w:firstLine="142"/>
        <w:rPr>
          <w:rFonts w:cstheme="minorHAnsi"/>
          <w:kern w:val="2"/>
          <w:lang w:val="de-DE"/>
          <w14:ligatures w14:val="standardContextual"/>
        </w:rPr>
      </w:pPr>
      <w:r w:rsidRPr="00C956B7">
        <w:rPr>
          <w:rFonts w:eastAsia="Arial" w:cstheme="minorHAnsi"/>
          <w:kern w:val="2"/>
          <w:lang w:val="de-DE"/>
          <w14:ligatures w14:val="standardContextual"/>
        </w:rPr>
        <w:t>Konsens PR GmbH &amp; Co. KG</w:t>
      </w:r>
    </w:p>
    <w:p w14:paraId="51548FC2" w14:textId="77777777" w:rsidR="00C956B7" w:rsidRPr="00AF03F3" w:rsidRDefault="00C956B7" w:rsidP="00C956B7">
      <w:pPr>
        <w:spacing w:after="0" w:line="240" w:lineRule="auto"/>
        <w:ind w:left="142"/>
        <w:rPr>
          <w:rFonts w:cstheme="minorHAnsi"/>
          <w:kern w:val="2"/>
          <w:lang w:val="en-US"/>
          <w14:ligatures w14:val="standardContextual"/>
        </w:rPr>
      </w:pPr>
      <w:r w:rsidRPr="00C956B7">
        <w:rPr>
          <w:rFonts w:eastAsia="Arial" w:cstheme="minorHAnsi"/>
          <w:kern w:val="2"/>
          <w:lang w:val="de-DE"/>
          <w14:ligatures w14:val="standardContextual"/>
        </w:rPr>
        <w:t xml:space="preserve">Hans-Böckler-Str. </w:t>
      </w:r>
      <w:r w:rsidRPr="00AF03F3">
        <w:rPr>
          <w:rFonts w:eastAsia="Arial" w:cstheme="minorHAnsi"/>
          <w:kern w:val="2"/>
          <w:lang w:val="en-US"/>
          <w14:ligatures w14:val="standardContextual"/>
        </w:rPr>
        <w:t>20, D-63811 Stockstadt, Germany</w:t>
      </w:r>
    </w:p>
    <w:p w14:paraId="341BEDED" w14:textId="77777777" w:rsidR="00C956B7" w:rsidRPr="00AF03F3" w:rsidRDefault="00C956B7" w:rsidP="00C956B7">
      <w:pPr>
        <w:spacing w:after="0" w:line="240" w:lineRule="auto"/>
        <w:ind w:firstLine="142"/>
        <w:rPr>
          <w:rFonts w:cstheme="minorHAnsi"/>
          <w:kern w:val="2"/>
          <w:lang w:val="en-US"/>
          <w14:ligatures w14:val="standardContextual"/>
        </w:rPr>
      </w:pPr>
      <w:r w:rsidRPr="00AF03F3">
        <w:rPr>
          <w:rFonts w:eastAsia="Arial" w:cstheme="minorHAnsi"/>
          <w:kern w:val="2"/>
          <w:lang w:val="en-US"/>
          <w14:ligatures w14:val="standardContextual"/>
        </w:rPr>
        <w:t>Tel: +49 6027 99005 13</w:t>
      </w:r>
    </w:p>
    <w:p w14:paraId="2E837EE1" w14:textId="77777777" w:rsidR="00C956B7" w:rsidRPr="00AF03F3" w:rsidRDefault="00C956B7" w:rsidP="00C956B7">
      <w:pPr>
        <w:spacing w:after="240" w:line="240" w:lineRule="auto"/>
        <w:ind w:firstLine="142"/>
        <w:rPr>
          <w:rFonts w:cstheme="minorHAnsi"/>
          <w:kern w:val="2"/>
          <w:lang w:val="en-US"/>
          <w14:ligatures w14:val="standardContextual"/>
        </w:rPr>
      </w:pPr>
      <w:hyperlink r:id="rId14">
        <w:r w:rsidRPr="00AF03F3">
          <w:rPr>
            <w:rFonts w:eastAsia="Arial" w:cstheme="minorHAnsi"/>
            <w:color w:val="0563C1" w:themeColor="hyperlink"/>
            <w:kern w:val="2"/>
            <w:u w:val="single"/>
            <w:lang w:val="en-US"/>
            <w14:ligatures w14:val="standardContextual"/>
          </w:rPr>
          <w:t>mail@konsens.de</w:t>
        </w:r>
      </w:hyperlink>
      <w:r w:rsidRPr="00AF03F3">
        <w:rPr>
          <w:rFonts w:eastAsia="Arial" w:cstheme="minorHAnsi"/>
          <w:kern w:val="2"/>
          <w:u w:val="single"/>
          <w:lang w:val="en-US"/>
          <w14:ligatures w14:val="standardContextual"/>
        </w:rPr>
        <w:t xml:space="preserve">    </w:t>
      </w:r>
      <w:r w:rsidRPr="00AF03F3">
        <w:rPr>
          <w:rFonts w:eastAsia="Arial" w:cstheme="minorHAnsi"/>
          <w:color w:val="0563C1" w:themeColor="hyperlink"/>
          <w:kern w:val="2"/>
          <w:u w:val="single"/>
          <w:lang w:val="en-US"/>
          <w14:ligatures w14:val="standardContextual"/>
        </w:rPr>
        <w:t>www.konsens.de</w:t>
      </w:r>
    </w:p>
    <w:bookmarkEnd w:id="0"/>
    <w:p w14:paraId="78B09239" w14:textId="2E024CFE" w:rsidR="00E746E9" w:rsidRPr="000F3591" w:rsidRDefault="00C956B7" w:rsidP="000F3591">
      <w:pPr>
        <w:spacing w:before="240" w:after="0" w:line="240" w:lineRule="auto"/>
        <w:jc w:val="center"/>
        <w:rPr>
          <w:rFonts w:eastAsia="Arial" w:cstheme="minorHAnsi"/>
          <w:b/>
          <w:bCs/>
          <w:color w:val="000000" w:themeColor="text1"/>
          <w:kern w:val="2"/>
          <w:lang w:val="en-US"/>
          <w14:ligatures w14:val="standardContextual"/>
        </w:rPr>
      </w:pPr>
      <w:r w:rsidRPr="00C956B7">
        <w:rPr>
          <w:rFonts w:eastAsia="Arial" w:cstheme="minorHAnsi"/>
          <w:b/>
          <w:bCs/>
          <w:color w:val="000000" w:themeColor="text1"/>
          <w:kern w:val="2"/>
          <w:lang w:val="en-US"/>
          <w14:ligatures w14:val="standardContextual"/>
        </w:rPr>
        <w:t xml:space="preserve">Please find text and image for download at </w:t>
      </w:r>
      <w:hyperlink r:id="rId15" w:history="1">
        <w:r w:rsidRPr="00C956B7">
          <w:rPr>
            <w:rFonts w:eastAsia="Arial" w:cstheme="minorHAnsi"/>
            <w:b/>
            <w:bCs/>
            <w:color w:val="000000" w:themeColor="text1"/>
            <w:kern w:val="2"/>
            <w:lang w:val="en-US"/>
            <w14:ligatures w14:val="standardContextual"/>
          </w:rPr>
          <w:t>https://www.konsens.de/hrsflow</w:t>
        </w:r>
      </w:hyperlink>
    </w:p>
    <w:sectPr w:rsidR="00E746E9" w:rsidRPr="000F3591" w:rsidSect="00C956B7">
      <w:headerReference w:type="default" r:id="rId16"/>
      <w:pgSz w:w="11906" w:h="16838"/>
      <w:pgMar w:top="255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32B7" w14:textId="77777777" w:rsidR="00D822CF" w:rsidRDefault="00D822CF" w:rsidP="00684F56">
      <w:pPr>
        <w:spacing w:after="0" w:line="240" w:lineRule="auto"/>
      </w:pPr>
      <w:r>
        <w:separator/>
      </w:r>
    </w:p>
  </w:endnote>
  <w:endnote w:type="continuationSeparator" w:id="0">
    <w:p w14:paraId="355A7B92" w14:textId="77777777" w:rsidR="00D822CF" w:rsidRDefault="00D822CF" w:rsidP="00684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329D" w14:textId="77777777" w:rsidR="00D822CF" w:rsidRDefault="00D822CF" w:rsidP="00684F56">
      <w:pPr>
        <w:spacing w:after="0" w:line="240" w:lineRule="auto"/>
      </w:pPr>
      <w:r>
        <w:separator/>
      </w:r>
    </w:p>
  </w:footnote>
  <w:footnote w:type="continuationSeparator" w:id="0">
    <w:p w14:paraId="43CEAD66" w14:textId="77777777" w:rsidR="00D822CF" w:rsidRDefault="00D822CF" w:rsidP="00684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4508"/>
      <w:gridCol w:w="4508"/>
    </w:tblGrid>
    <w:tr w:rsidR="000857BA" w:rsidRPr="001674CD" w14:paraId="117715C3" w14:textId="77777777" w:rsidTr="00DF7657">
      <w:tc>
        <w:tcPr>
          <w:tcW w:w="4508" w:type="dxa"/>
        </w:tcPr>
        <w:p w14:paraId="510B6442" w14:textId="77777777" w:rsidR="000857BA" w:rsidRPr="001674CD" w:rsidRDefault="000857BA" w:rsidP="00DF7657">
          <w:pPr>
            <w:pStyle w:val="Kopfzeile"/>
          </w:pPr>
          <w:r w:rsidRPr="001674CD">
            <w:rPr>
              <w:noProof/>
            </w:rPr>
            <w:drawing>
              <wp:inline distT="0" distB="0" distL="0" distR="0" wp14:anchorId="24FF0D3C" wp14:editId="67AB83D3">
                <wp:extent cx="974725" cy="383540"/>
                <wp:effectExtent l="0" t="0" r="0" b="0"/>
                <wp:docPr id="943257038" name="Picture 1" descr="A red text on a white background&#10;&#10;Description automatically generated">
                  <a:extLst xmlns:a="http://schemas.openxmlformats.org/drawingml/2006/main">
                    <a:ext uri="{FF2B5EF4-FFF2-40B4-BE49-F238E27FC236}">
                      <a16:creationId xmlns:a16="http://schemas.microsoft.com/office/drawing/2014/main" id="{DF47A916-A8F6-4B31-8571-0A7A1011A3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65495" name="Picture 1" descr="A red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74725" cy="383540"/>
                        </a:xfrm>
                        <a:prstGeom prst="rect">
                          <a:avLst/>
                        </a:prstGeom>
                      </pic:spPr>
                    </pic:pic>
                  </a:graphicData>
                </a:graphic>
              </wp:inline>
            </w:drawing>
          </w:r>
        </w:p>
      </w:tc>
      <w:tc>
        <w:tcPr>
          <w:tcW w:w="4508" w:type="dxa"/>
        </w:tcPr>
        <w:p w14:paraId="3D12205A" w14:textId="77777777" w:rsidR="000857BA" w:rsidRPr="001674CD" w:rsidRDefault="000857BA" w:rsidP="00DF7657">
          <w:pPr>
            <w:pStyle w:val="Kopfzeile"/>
            <w:jc w:val="right"/>
            <w:rPr>
              <w:rFonts w:cstheme="minorHAnsi"/>
              <w:sz w:val="22"/>
              <w:szCs w:val="22"/>
            </w:rPr>
          </w:pPr>
          <w:r>
            <w:rPr>
              <w:rFonts w:cstheme="minorHAnsi"/>
              <w:noProof/>
            </w:rPr>
            <w:drawing>
              <wp:inline distT="0" distB="0" distL="0" distR="0" wp14:anchorId="39ED1C01" wp14:editId="585830D9">
                <wp:extent cx="2527282" cy="583219"/>
                <wp:effectExtent l="0" t="0" r="6985" b="7620"/>
                <wp:docPr id="1900181448" name="Grafik 1">
                  <a:extLst xmlns:a="http://schemas.openxmlformats.org/drawingml/2006/main">
                    <a:ext uri="{FF2B5EF4-FFF2-40B4-BE49-F238E27FC236}">
                      <a16:creationId xmlns:a16="http://schemas.microsoft.com/office/drawing/2014/main" id="{1FA5A1B1-9CB6-42FE-B43E-A3340ED0D9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81448" name="Grafik 1"/>
                        <pic:cNvPicPr/>
                      </pic:nvPicPr>
                      <pic:blipFill>
                        <a:blip r:embed="rId2">
                          <a:extLst>
                            <a:ext uri="{28A0092B-C50C-407E-A947-70E740481C1C}">
                              <a14:useLocalDpi xmlns:a14="http://schemas.microsoft.com/office/drawing/2010/main" val="0"/>
                            </a:ext>
                          </a:extLst>
                        </a:blip>
                        <a:stretch>
                          <a:fillRect/>
                        </a:stretch>
                      </pic:blipFill>
                      <pic:spPr>
                        <a:xfrm>
                          <a:off x="0" y="0"/>
                          <a:ext cx="2527282" cy="583219"/>
                        </a:xfrm>
                        <a:prstGeom prst="rect">
                          <a:avLst/>
                        </a:prstGeom>
                      </pic:spPr>
                    </pic:pic>
                  </a:graphicData>
                </a:graphic>
              </wp:inline>
            </w:drawing>
          </w:r>
        </w:p>
        <w:p w14:paraId="7B6FF781" w14:textId="77777777" w:rsidR="000857BA" w:rsidRPr="001674CD" w:rsidRDefault="000857BA" w:rsidP="00DF7657">
          <w:pPr>
            <w:pStyle w:val="Kopfzeile"/>
            <w:jc w:val="right"/>
            <w:rPr>
              <w:rFonts w:cstheme="minorHAnsi"/>
              <w:sz w:val="22"/>
              <w:szCs w:val="22"/>
            </w:rPr>
          </w:pPr>
          <w:r w:rsidRPr="001674CD">
            <w:rPr>
              <w:rFonts w:cstheme="minorHAnsi"/>
            </w:rPr>
            <w:t>Hall</w:t>
          </w:r>
          <w:r>
            <w:rPr>
              <w:rFonts w:cstheme="minorHAnsi"/>
            </w:rPr>
            <w:t xml:space="preserve"> A1</w:t>
          </w:r>
          <w:r w:rsidRPr="001674CD">
            <w:rPr>
              <w:rFonts w:cstheme="minorHAnsi"/>
            </w:rPr>
            <w:t xml:space="preserve">, Stand </w:t>
          </w:r>
          <w:r>
            <w:rPr>
              <w:rFonts w:cstheme="minorHAnsi"/>
            </w:rPr>
            <w:t>A1-1211</w:t>
          </w:r>
        </w:p>
      </w:tc>
    </w:tr>
  </w:tbl>
  <w:p w14:paraId="208AA419" w14:textId="77777777" w:rsidR="000857BA" w:rsidRPr="001674CD" w:rsidRDefault="000857B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B7"/>
    <w:rsid w:val="00000177"/>
    <w:rsid w:val="000134F7"/>
    <w:rsid w:val="000172CC"/>
    <w:rsid w:val="00020711"/>
    <w:rsid w:val="000310DB"/>
    <w:rsid w:val="0003305E"/>
    <w:rsid w:val="00041B83"/>
    <w:rsid w:val="00041E8C"/>
    <w:rsid w:val="000421BC"/>
    <w:rsid w:val="00053FE0"/>
    <w:rsid w:val="00055664"/>
    <w:rsid w:val="00060348"/>
    <w:rsid w:val="000701CD"/>
    <w:rsid w:val="0007691A"/>
    <w:rsid w:val="000820AD"/>
    <w:rsid w:val="0008465A"/>
    <w:rsid w:val="000857BA"/>
    <w:rsid w:val="00091DD9"/>
    <w:rsid w:val="000934D4"/>
    <w:rsid w:val="0009552D"/>
    <w:rsid w:val="000C01EA"/>
    <w:rsid w:val="000C3BCD"/>
    <w:rsid w:val="000D492D"/>
    <w:rsid w:val="000D5E9A"/>
    <w:rsid w:val="000E3CA7"/>
    <w:rsid w:val="000E4360"/>
    <w:rsid w:val="000E45DD"/>
    <w:rsid w:val="000F1C3D"/>
    <w:rsid w:val="000F3591"/>
    <w:rsid w:val="000F467B"/>
    <w:rsid w:val="00114458"/>
    <w:rsid w:val="00114CEF"/>
    <w:rsid w:val="00131F33"/>
    <w:rsid w:val="00143378"/>
    <w:rsid w:val="00155AAD"/>
    <w:rsid w:val="00164899"/>
    <w:rsid w:val="00164CF0"/>
    <w:rsid w:val="00170250"/>
    <w:rsid w:val="00173AA9"/>
    <w:rsid w:val="00174566"/>
    <w:rsid w:val="00177D68"/>
    <w:rsid w:val="001B2E7C"/>
    <w:rsid w:val="001B3DF1"/>
    <w:rsid w:val="001B4469"/>
    <w:rsid w:val="001B4634"/>
    <w:rsid w:val="001B76CA"/>
    <w:rsid w:val="001C763E"/>
    <w:rsid w:val="001C764B"/>
    <w:rsid w:val="001D765E"/>
    <w:rsid w:val="001E1550"/>
    <w:rsid w:val="001E7349"/>
    <w:rsid w:val="001F36A4"/>
    <w:rsid w:val="001F41B3"/>
    <w:rsid w:val="00206996"/>
    <w:rsid w:val="0021558A"/>
    <w:rsid w:val="0021598E"/>
    <w:rsid w:val="0022250B"/>
    <w:rsid w:val="00232121"/>
    <w:rsid w:val="0023705B"/>
    <w:rsid w:val="00242D0F"/>
    <w:rsid w:val="0025471E"/>
    <w:rsid w:val="00291309"/>
    <w:rsid w:val="002A240F"/>
    <w:rsid w:val="002A2CCC"/>
    <w:rsid w:val="002A6ED7"/>
    <w:rsid w:val="002B2259"/>
    <w:rsid w:val="002B256D"/>
    <w:rsid w:val="002B450E"/>
    <w:rsid w:val="002B50E7"/>
    <w:rsid w:val="002C0832"/>
    <w:rsid w:val="002C3032"/>
    <w:rsid w:val="002D0CC9"/>
    <w:rsid w:val="002D33FE"/>
    <w:rsid w:val="002E54BE"/>
    <w:rsid w:val="002F1109"/>
    <w:rsid w:val="002F5A53"/>
    <w:rsid w:val="002F5AF5"/>
    <w:rsid w:val="00315D3D"/>
    <w:rsid w:val="00317D45"/>
    <w:rsid w:val="003214B2"/>
    <w:rsid w:val="003357C8"/>
    <w:rsid w:val="00335B4B"/>
    <w:rsid w:val="00340378"/>
    <w:rsid w:val="00341F19"/>
    <w:rsid w:val="0034302D"/>
    <w:rsid w:val="00344B1F"/>
    <w:rsid w:val="003555EF"/>
    <w:rsid w:val="00355AAD"/>
    <w:rsid w:val="00370F33"/>
    <w:rsid w:val="00382E31"/>
    <w:rsid w:val="00386488"/>
    <w:rsid w:val="00387BBD"/>
    <w:rsid w:val="003904C6"/>
    <w:rsid w:val="003A6A37"/>
    <w:rsid w:val="003B75EC"/>
    <w:rsid w:val="003C4A1B"/>
    <w:rsid w:val="003C7C46"/>
    <w:rsid w:val="003D16D3"/>
    <w:rsid w:val="003D7A46"/>
    <w:rsid w:val="003F6124"/>
    <w:rsid w:val="00400177"/>
    <w:rsid w:val="00400225"/>
    <w:rsid w:val="00400A91"/>
    <w:rsid w:val="00422013"/>
    <w:rsid w:val="00424ED5"/>
    <w:rsid w:val="004361B2"/>
    <w:rsid w:val="004423B0"/>
    <w:rsid w:val="00443ECA"/>
    <w:rsid w:val="00443EF5"/>
    <w:rsid w:val="00446126"/>
    <w:rsid w:val="004865EE"/>
    <w:rsid w:val="004909F3"/>
    <w:rsid w:val="00497948"/>
    <w:rsid w:val="004A4A1F"/>
    <w:rsid w:val="004A7AB2"/>
    <w:rsid w:val="004B1DC8"/>
    <w:rsid w:val="004B3068"/>
    <w:rsid w:val="004B6D3D"/>
    <w:rsid w:val="004D189A"/>
    <w:rsid w:val="00514CED"/>
    <w:rsid w:val="00521A1D"/>
    <w:rsid w:val="00540148"/>
    <w:rsid w:val="005572FC"/>
    <w:rsid w:val="00567F8A"/>
    <w:rsid w:val="00570BC7"/>
    <w:rsid w:val="00575B84"/>
    <w:rsid w:val="00581627"/>
    <w:rsid w:val="0058288A"/>
    <w:rsid w:val="00594F35"/>
    <w:rsid w:val="005A5A4D"/>
    <w:rsid w:val="005B2DBF"/>
    <w:rsid w:val="005B415E"/>
    <w:rsid w:val="005B4F6A"/>
    <w:rsid w:val="005B62AC"/>
    <w:rsid w:val="005D6764"/>
    <w:rsid w:val="005E136D"/>
    <w:rsid w:val="005E50B1"/>
    <w:rsid w:val="005E73AD"/>
    <w:rsid w:val="005F2EF7"/>
    <w:rsid w:val="005F36F8"/>
    <w:rsid w:val="006001DF"/>
    <w:rsid w:val="00606103"/>
    <w:rsid w:val="00611331"/>
    <w:rsid w:val="00616AE7"/>
    <w:rsid w:val="00637C42"/>
    <w:rsid w:val="0064349F"/>
    <w:rsid w:val="006448AC"/>
    <w:rsid w:val="00650FC2"/>
    <w:rsid w:val="00684F56"/>
    <w:rsid w:val="00686834"/>
    <w:rsid w:val="00686B53"/>
    <w:rsid w:val="00693591"/>
    <w:rsid w:val="00695A2C"/>
    <w:rsid w:val="006D1E14"/>
    <w:rsid w:val="006D515E"/>
    <w:rsid w:val="006D67A7"/>
    <w:rsid w:val="006E3BB9"/>
    <w:rsid w:val="006E42EA"/>
    <w:rsid w:val="00726C35"/>
    <w:rsid w:val="007310D7"/>
    <w:rsid w:val="00736C28"/>
    <w:rsid w:val="00740959"/>
    <w:rsid w:val="00745AFA"/>
    <w:rsid w:val="00750413"/>
    <w:rsid w:val="00755A36"/>
    <w:rsid w:val="007623C6"/>
    <w:rsid w:val="00765F8E"/>
    <w:rsid w:val="00772BB8"/>
    <w:rsid w:val="00773880"/>
    <w:rsid w:val="0079082A"/>
    <w:rsid w:val="00797487"/>
    <w:rsid w:val="007A4C27"/>
    <w:rsid w:val="007A7200"/>
    <w:rsid w:val="007B03BE"/>
    <w:rsid w:val="007B1825"/>
    <w:rsid w:val="007B26F0"/>
    <w:rsid w:val="007B4BD0"/>
    <w:rsid w:val="007B67FF"/>
    <w:rsid w:val="007B74E2"/>
    <w:rsid w:val="007C1F1E"/>
    <w:rsid w:val="007C6AAF"/>
    <w:rsid w:val="007D1A3D"/>
    <w:rsid w:val="007D4917"/>
    <w:rsid w:val="007E3D38"/>
    <w:rsid w:val="007E5915"/>
    <w:rsid w:val="007F292D"/>
    <w:rsid w:val="008073DA"/>
    <w:rsid w:val="008217C0"/>
    <w:rsid w:val="0082531B"/>
    <w:rsid w:val="00826C0B"/>
    <w:rsid w:val="0083150D"/>
    <w:rsid w:val="00833918"/>
    <w:rsid w:val="0084248F"/>
    <w:rsid w:val="00846622"/>
    <w:rsid w:val="00847324"/>
    <w:rsid w:val="00847A0F"/>
    <w:rsid w:val="0086024B"/>
    <w:rsid w:val="00861A7B"/>
    <w:rsid w:val="0086327E"/>
    <w:rsid w:val="00883728"/>
    <w:rsid w:val="00897D53"/>
    <w:rsid w:val="008A2A4B"/>
    <w:rsid w:val="008B005B"/>
    <w:rsid w:val="008B5BE0"/>
    <w:rsid w:val="008B680B"/>
    <w:rsid w:val="008B7612"/>
    <w:rsid w:val="008D33A6"/>
    <w:rsid w:val="008D56DF"/>
    <w:rsid w:val="008D5B40"/>
    <w:rsid w:val="008E518F"/>
    <w:rsid w:val="008E7844"/>
    <w:rsid w:val="008F4A6B"/>
    <w:rsid w:val="008F4D70"/>
    <w:rsid w:val="00903FEF"/>
    <w:rsid w:val="00906E42"/>
    <w:rsid w:val="00914037"/>
    <w:rsid w:val="00917C4B"/>
    <w:rsid w:val="00917E06"/>
    <w:rsid w:val="00930D37"/>
    <w:rsid w:val="00945532"/>
    <w:rsid w:val="0095165C"/>
    <w:rsid w:val="00956361"/>
    <w:rsid w:val="00962B70"/>
    <w:rsid w:val="009632F5"/>
    <w:rsid w:val="00963B6F"/>
    <w:rsid w:val="00967524"/>
    <w:rsid w:val="00971B05"/>
    <w:rsid w:val="009735E2"/>
    <w:rsid w:val="00973D60"/>
    <w:rsid w:val="009778F4"/>
    <w:rsid w:val="00977FA2"/>
    <w:rsid w:val="00983D53"/>
    <w:rsid w:val="009866D1"/>
    <w:rsid w:val="009941CB"/>
    <w:rsid w:val="009A224B"/>
    <w:rsid w:val="009A2840"/>
    <w:rsid w:val="009A5066"/>
    <w:rsid w:val="009A596B"/>
    <w:rsid w:val="009B06EA"/>
    <w:rsid w:val="009C0541"/>
    <w:rsid w:val="009D419A"/>
    <w:rsid w:val="009E0E42"/>
    <w:rsid w:val="009E3268"/>
    <w:rsid w:val="009E49F1"/>
    <w:rsid w:val="009F2991"/>
    <w:rsid w:val="009F6FE6"/>
    <w:rsid w:val="00A0146F"/>
    <w:rsid w:val="00A065A4"/>
    <w:rsid w:val="00A14E0A"/>
    <w:rsid w:val="00A16DEA"/>
    <w:rsid w:val="00A4007C"/>
    <w:rsid w:val="00A53CBA"/>
    <w:rsid w:val="00A55C87"/>
    <w:rsid w:val="00A55FA4"/>
    <w:rsid w:val="00A62AD7"/>
    <w:rsid w:val="00A670F2"/>
    <w:rsid w:val="00A726A2"/>
    <w:rsid w:val="00A90130"/>
    <w:rsid w:val="00A940A1"/>
    <w:rsid w:val="00A9573F"/>
    <w:rsid w:val="00AA2ECD"/>
    <w:rsid w:val="00AA3DD9"/>
    <w:rsid w:val="00AA6EEB"/>
    <w:rsid w:val="00AB132E"/>
    <w:rsid w:val="00AB2CA3"/>
    <w:rsid w:val="00AB5503"/>
    <w:rsid w:val="00AB5F9E"/>
    <w:rsid w:val="00AB5FF4"/>
    <w:rsid w:val="00AD64A3"/>
    <w:rsid w:val="00AF03F3"/>
    <w:rsid w:val="00AF6339"/>
    <w:rsid w:val="00B05814"/>
    <w:rsid w:val="00B07DF1"/>
    <w:rsid w:val="00B151EF"/>
    <w:rsid w:val="00B170E6"/>
    <w:rsid w:val="00B21C0C"/>
    <w:rsid w:val="00B2453C"/>
    <w:rsid w:val="00B32DB5"/>
    <w:rsid w:val="00B35987"/>
    <w:rsid w:val="00B36690"/>
    <w:rsid w:val="00B4560B"/>
    <w:rsid w:val="00B47D35"/>
    <w:rsid w:val="00B5540C"/>
    <w:rsid w:val="00B55494"/>
    <w:rsid w:val="00B564BD"/>
    <w:rsid w:val="00B67FF9"/>
    <w:rsid w:val="00B72616"/>
    <w:rsid w:val="00B75E08"/>
    <w:rsid w:val="00B76FD2"/>
    <w:rsid w:val="00B81011"/>
    <w:rsid w:val="00B855C8"/>
    <w:rsid w:val="00B86B19"/>
    <w:rsid w:val="00B924E0"/>
    <w:rsid w:val="00B9559A"/>
    <w:rsid w:val="00BA4D81"/>
    <w:rsid w:val="00BB193C"/>
    <w:rsid w:val="00BB5518"/>
    <w:rsid w:val="00BB7C01"/>
    <w:rsid w:val="00BB7C87"/>
    <w:rsid w:val="00BC2136"/>
    <w:rsid w:val="00BC5D38"/>
    <w:rsid w:val="00BC6D3D"/>
    <w:rsid w:val="00BD2E0E"/>
    <w:rsid w:val="00BD37FB"/>
    <w:rsid w:val="00BE0A93"/>
    <w:rsid w:val="00BE0D4B"/>
    <w:rsid w:val="00BF0F1E"/>
    <w:rsid w:val="00C1041B"/>
    <w:rsid w:val="00C107D7"/>
    <w:rsid w:val="00C11437"/>
    <w:rsid w:val="00C1744A"/>
    <w:rsid w:val="00C238F2"/>
    <w:rsid w:val="00C35539"/>
    <w:rsid w:val="00C37EC0"/>
    <w:rsid w:val="00C43885"/>
    <w:rsid w:val="00C501B0"/>
    <w:rsid w:val="00C6066B"/>
    <w:rsid w:val="00C9227B"/>
    <w:rsid w:val="00C927B1"/>
    <w:rsid w:val="00C956B7"/>
    <w:rsid w:val="00CA0A30"/>
    <w:rsid w:val="00CA52C5"/>
    <w:rsid w:val="00CC24E1"/>
    <w:rsid w:val="00CD4ADF"/>
    <w:rsid w:val="00CE24FF"/>
    <w:rsid w:val="00CF5E46"/>
    <w:rsid w:val="00D00361"/>
    <w:rsid w:val="00D02314"/>
    <w:rsid w:val="00D0348F"/>
    <w:rsid w:val="00D060C2"/>
    <w:rsid w:val="00D1536E"/>
    <w:rsid w:val="00D23E26"/>
    <w:rsid w:val="00D312FE"/>
    <w:rsid w:val="00D349CC"/>
    <w:rsid w:val="00D372F1"/>
    <w:rsid w:val="00D462FD"/>
    <w:rsid w:val="00D479A8"/>
    <w:rsid w:val="00D6180D"/>
    <w:rsid w:val="00D61D71"/>
    <w:rsid w:val="00D6259D"/>
    <w:rsid w:val="00D63171"/>
    <w:rsid w:val="00D636BC"/>
    <w:rsid w:val="00D65F8A"/>
    <w:rsid w:val="00D7393B"/>
    <w:rsid w:val="00D76272"/>
    <w:rsid w:val="00D817AD"/>
    <w:rsid w:val="00D822CF"/>
    <w:rsid w:val="00D86428"/>
    <w:rsid w:val="00D9016C"/>
    <w:rsid w:val="00D9293F"/>
    <w:rsid w:val="00D92DC9"/>
    <w:rsid w:val="00D9471F"/>
    <w:rsid w:val="00D95B66"/>
    <w:rsid w:val="00DA09DC"/>
    <w:rsid w:val="00DA296B"/>
    <w:rsid w:val="00DB267F"/>
    <w:rsid w:val="00DC0379"/>
    <w:rsid w:val="00DC2A1C"/>
    <w:rsid w:val="00DC641B"/>
    <w:rsid w:val="00DD0BA7"/>
    <w:rsid w:val="00DD4609"/>
    <w:rsid w:val="00DE222A"/>
    <w:rsid w:val="00DE3420"/>
    <w:rsid w:val="00DE5247"/>
    <w:rsid w:val="00DE7A04"/>
    <w:rsid w:val="00DF0293"/>
    <w:rsid w:val="00DF435D"/>
    <w:rsid w:val="00DF7657"/>
    <w:rsid w:val="00E023CE"/>
    <w:rsid w:val="00E029A8"/>
    <w:rsid w:val="00E23B0F"/>
    <w:rsid w:val="00E35A18"/>
    <w:rsid w:val="00E462E9"/>
    <w:rsid w:val="00E5629E"/>
    <w:rsid w:val="00E6001D"/>
    <w:rsid w:val="00E615B1"/>
    <w:rsid w:val="00E7434D"/>
    <w:rsid w:val="00E7435D"/>
    <w:rsid w:val="00E746E9"/>
    <w:rsid w:val="00E77972"/>
    <w:rsid w:val="00E876CD"/>
    <w:rsid w:val="00EA0571"/>
    <w:rsid w:val="00EA15C3"/>
    <w:rsid w:val="00EA1E48"/>
    <w:rsid w:val="00EA5907"/>
    <w:rsid w:val="00EB6A4F"/>
    <w:rsid w:val="00EC09B2"/>
    <w:rsid w:val="00EC596B"/>
    <w:rsid w:val="00EE50FD"/>
    <w:rsid w:val="00EE701A"/>
    <w:rsid w:val="00EF07B2"/>
    <w:rsid w:val="00EF13CE"/>
    <w:rsid w:val="00EF2409"/>
    <w:rsid w:val="00EF6CEA"/>
    <w:rsid w:val="00F00E47"/>
    <w:rsid w:val="00F038BE"/>
    <w:rsid w:val="00F1539D"/>
    <w:rsid w:val="00F175B6"/>
    <w:rsid w:val="00F211ED"/>
    <w:rsid w:val="00F23FCF"/>
    <w:rsid w:val="00F34B2A"/>
    <w:rsid w:val="00F4400C"/>
    <w:rsid w:val="00F4444B"/>
    <w:rsid w:val="00F46306"/>
    <w:rsid w:val="00F50F95"/>
    <w:rsid w:val="00F515AB"/>
    <w:rsid w:val="00F52764"/>
    <w:rsid w:val="00F573CF"/>
    <w:rsid w:val="00F60808"/>
    <w:rsid w:val="00F6205B"/>
    <w:rsid w:val="00F66EBF"/>
    <w:rsid w:val="00F67294"/>
    <w:rsid w:val="00F67A16"/>
    <w:rsid w:val="00F70B32"/>
    <w:rsid w:val="00F72644"/>
    <w:rsid w:val="00F83FCF"/>
    <w:rsid w:val="00F966A1"/>
    <w:rsid w:val="00F971E4"/>
    <w:rsid w:val="00F97609"/>
    <w:rsid w:val="00FA1475"/>
    <w:rsid w:val="00FA56F3"/>
    <w:rsid w:val="00FC02A9"/>
    <w:rsid w:val="00FD5C69"/>
    <w:rsid w:val="00FE71EB"/>
    <w:rsid w:val="00FF4D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2CFD"/>
  <w15:chartTrackingRefBased/>
  <w15:docId w15:val="{918FD89E-A5DF-43DE-A2DA-BCFC5CC41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956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956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956B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956B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956B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956B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956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956B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956B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956B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956B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956B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956B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956B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956B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956B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956B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956B7"/>
    <w:rPr>
      <w:rFonts w:eastAsiaTheme="majorEastAsia" w:cstheme="majorBidi"/>
      <w:color w:val="272727" w:themeColor="text1" w:themeTint="D8"/>
    </w:rPr>
  </w:style>
  <w:style w:type="paragraph" w:styleId="Titel">
    <w:name w:val="Title"/>
    <w:basedOn w:val="Standard"/>
    <w:next w:val="Standard"/>
    <w:link w:val="TitelZchn"/>
    <w:uiPriority w:val="10"/>
    <w:qFormat/>
    <w:rsid w:val="00C95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956B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956B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956B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956B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956B7"/>
    <w:rPr>
      <w:i/>
      <w:iCs/>
      <w:color w:val="404040" w:themeColor="text1" w:themeTint="BF"/>
    </w:rPr>
  </w:style>
  <w:style w:type="paragraph" w:styleId="Listenabsatz">
    <w:name w:val="List Paragraph"/>
    <w:basedOn w:val="Standard"/>
    <w:uiPriority w:val="34"/>
    <w:qFormat/>
    <w:rsid w:val="00C956B7"/>
    <w:pPr>
      <w:ind w:left="720"/>
      <w:contextualSpacing/>
    </w:pPr>
  </w:style>
  <w:style w:type="character" w:styleId="IntensiveHervorhebung">
    <w:name w:val="Intense Emphasis"/>
    <w:basedOn w:val="Absatz-Standardschriftart"/>
    <w:uiPriority w:val="21"/>
    <w:qFormat/>
    <w:rsid w:val="00C956B7"/>
    <w:rPr>
      <w:i/>
      <w:iCs/>
      <w:color w:val="2F5496" w:themeColor="accent1" w:themeShade="BF"/>
    </w:rPr>
  </w:style>
  <w:style w:type="paragraph" w:styleId="IntensivesZitat">
    <w:name w:val="Intense Quote"/>
    <w:basedOn w:val="Standard"/>
    <w:next w:val="Standard"/>
    <w:link w:val="IntensivesZitatZchn"/>
    <w:uiPriority w:val="30"/>
    <w:qFormat/>
    <w:rsid w:val="00C956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956B7"/>
    <w:rPr>
      <w:i/>
      <w:iCs/>
      <w:color w:val="2F5496" w:themeColor="accent1" w:themeShade="BF"/>
    </w:rPr>
  </w:style>
  <w:style w:type="character" w:styleId="IntensiverVerweis">
    <w:name w:val="Intense Reference"/>
    <w:basedOn w:val="Absatz-Standardschriftart"/>
    <w:uiPriority w:val="32"/>
    <w:qFormat/>
    <w:rsid w:val="00C956B7"/>
    <w:rPr>
      <w:b/>
      <w:bCs/>
      <w:smallCaps/>
      <w:color w:val="2F5496" w:themeColor="accent1" w:themeShade="BF"/>
      <w:spacing w:val="5"/>
    </w:rPr>
  </w:style>
  <w:style w:type="paragraph" w:styleId="Kopfzeile">
    <w:name w:val="header"/>
    <w:basedOn w:val="Standard"/>
    <w:link w:val="KopfzeileZchn"/>
    <w:uiPriority w:val="99"/>
    <w:unhideWhenUsed/>
    <w:rsid w:val="00C956B7"/>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956B7"/>
  </w:style>
  <w:style w:type="table" w:styleId="Tabellenraster">
    <w:name w:val="Table Grid"/>
    <w:basedOn w:val="NormaleTabelle"/>
    <w:uiPriority w:val="59"/>
    <w:rsid w:val="00C956B7"/>
    <w:pPr>
      <w:spacing w:after="0" w:line="240" w:lineRule="auto"/>
    </w:pPr>
    <w:rPr>
      <w:rFonts w:eastAsiaTheme="minorEastAsia"/>
      <w:sz w:val="24"/>
      <w:szCs w:val="24"/>
      <w:lang w:val="en-US" w:eastAsia="ja-JP"/>
    </w:rPr>
    <w:tblPr/>
  </w:style>
  <w:style w:type="paragraph" w:styleId="Fuzeile">
    <w:name w:val="footer"/>
    <w:basedOn w:val="Standard"/>
    <w:link w:val="FuzeileZchn"/>
    <w:uiPriority w:val="99"/>
    <w:unhideWhenUsed/>
    <w:rsid w:val="00D92DC9"/>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D92DC9"/>
  </w:style>
  <w:style w:type="paragraph" w:styleId="StandardWeb">
    <w:name w:val="Normal (Web)"/>
    <w:basedOn w:val="Standard"/>
    <w:uiPriority w:val="99"/>
    <w:semiHidden/>
    <w:unhideWhenUsed/>
    <w:rsid w:val="00AF03F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erlikon.com/hrsflow"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erica.gaggiato@oerlik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erlikon.com/hrsflow" TargetMode="External"/><Relationship Id="rId5" Type="http://schemas.openxmlformats.org/officeDocument/2006/relationships/settings" Target="settings.xml"/><Relationship Id="rId15" Type="http://schemas.openxmlformats.org/officeDocument/2006/relationships/hyperlink" Target="https://www.konsens.de/hrsflow" TargetMode="External"/><Relationship Id="rId10" Type="http://schemas.openxmlformats.org/officeDocument/2006/relationships/hyperlink" Target="mailto:chiara.montagner@oerlikon.co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mail@konse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63E1D72F421545AD5E76385CF4EE70" ma:contentTypeVersion="9" ma:contentTypeDescription="Create a new document." ma:contentTypeScope="" ma:versionID="aa1988d1305de43e259a45320ac7353f">
  <xsd:schema xmlns:xsd="http://www.w3.org/2001/XMLSchema" xmlns:xs="http://www.w3.org/2001/XMLSchema" xmlns:p="http://schemas.microsoft.com/office/2006/metadata/properties" xmlns:ns2="220066f1-34b1-4065-9208-640b0a0fc898" xmlns:ns3="d40dcdce-7d04-4eb6-84dd-42274914f3dc" xmlns:ns4="d0067ac9-7c30-4069-bc82-c487ffba5aa0" xmlns:ns5="44ad584b-ffee-412e-ab05-70865c8fada7" targetNamespace="http://schemas.microsoft.com/office/2006/metadata/properties" ma:root="true" ma:fieldsID="9b5cef2be693169fd4efb7921f090aee" ns2:_="" ns3:_="" ns4:_="" ns5:_="">
    <xsd:import namespace="220066f1-34b1-4065-9208-640b0a0fc898"/>
    <xsd:import namespace="d40dcdce-7d04-4eb6-84dd-42274914f3dc"/>
    <xsd:import namespace="d0067ac9-7c30-4069-bc82-c487ffba5aa0"/>
    <xsd:import namespace="44ad584b-ffee-412e-ab05-70865c8fad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066f1-34b1-4065-9208-640b0a0fc8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dcdce-7d04-4eb6-84dd-42274914f3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067ac9-7c30-4069-bc82-c487ffba5aa0"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a4f273-cd65-48bd-b7ec-e53081bfc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ad584b-ffee-412e-ab05-70865c8fada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4ad584b-ffee-412e-ab05-70865c8fada7}" ma:internalName="TaxCatchAll" ma:showField="CatchAllData" ma:web="1b660786-ef27-4ef4-a6b9-7fdcae355c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067ac9-7c30-4069-bc82-c487ffba5aa0">
      <Terms xmlns="http://schemas.microsoft.com/office/infopath/2007/PartnerControls"/>
    </lcf76f155ced4ddcb4097134ff3c332f>
    <TaxCatchAll xmlns="44ad584b-ffee-412e-ab05-70865c8fada7" xsi:nil="true"/>
  </documentManagement>
</p:properties>
</file>

<file path=customXml/itemProps1.xml><?xml version="1.0" encoding="utf-8"?>
<ds:datastoreItem xmlns:ds="http://schemas.openxmlformats.org/officeDocument/2006/customXml" ds:itemID="{FBA2FC2C-8B86-49B8-B81A-EF0F34CEE0A5}">
  <ds:schemaRefs>
    <ds:schemaRef ds:uri="http://schemas.microsoft.com/sharepoint/v3/contenttype/forms"/>
  </ds:schemaRefs>
</ds:datastoreItem>
</file>

<file path=customXml/itemProps2.xml><?xml version="1.0" encoding="utf-8"?>
<ds:datastoreItem xmlns:ds="http://schemas.openxmlformats.org/officeDocument/2006/customXml" ds:itemID="{E154FE01-D63D-4067-8F53-FCC2F9586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0066f1-34b1-4065-9208-640b0a0fc898"/>
    <ds:schemaRef ds:uri="d40dcdce-7d04-4eb6-84dd-42274914f3dc"/>
    <ds:schemaRef ds:uri="d0067ac9-7c30-4069-bc82-c487ffba5aa0"/>
    <ds:schemaRef ds:uri="44ad584b-ffee-412e-ab05-70865c8fa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0C759A-5FDB-40E8-84A5-70C56B7D938D}">
  <ds:schemaRefs>
    <ds:schemaRef ds:uri="http://schemas.microsoft.com/office/2006/metadata/properties"/>
    <ds:schemaRef ds:uri="http://schemas.microsoft.com/office/infopath/2007/PartnerControls"/>
    <ds:schemaRef ds:uri="d0067ac9-7c30-4069-bc82-c487ffba5aa0"/>
    <ds:schemaRef ds:uri="44ad584b-ffee-412e-ab05-70865c8fada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3461</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Gaggiato, Erica</dc:creator>
  <cp:keywords/>
  <dc:description/>
  <cp:lastModifiedBy>Jörg Wolters</cp:lastModifiedBy>
  <cp:revision>2</cp:revision>
  <dcterms:created xsi:type="dcterms:W3CDTF">2026-10-09T13:13:00Z</dcterms:created>
  <dcterms:modified xsi:type="dcterms:W3CDTF">2026-10-09T13:13:00Z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0x0101005363E1D72F421545AD5E76385CF4EE70</vt:lpwstr>
  </property>
  <property fmtid="{D5CDD505-2E9C-101B-9397-08002B2CF9AE}" pid="3" name="MediaServiceImageTags">
    <vt:lpwstr/>
  </property>
</Properties>
</file>