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C104" w14:textId="77777777" w:rsidR="00533B5C" w:rsidRDefault="00533B5C">
      <w:pPr>
        <w:rPr>
          <w:rFonts w:ascii="Helvetica" w:hAnsi="Helvetica"/>
        </w:rPr>
      </w:pPr>
    </w:p>
    <w:p w14:paraId="770F4297" w14:textId="06C2902B" w:rsidR="006F0B14" w:rsidRPr="00BF3C2C" w:rsidRDefault="006F0B14" w:rsidP="00BF3C2C">
      <w:pPr>
        <w:rPr>
          <w:rFonts w:ascii="Helvetica" w:hAnsi="Helvetica"/>
        </w:rPr>
      </w:pPr>
    </w:p>
    <w:p w14:paraId="69A90C37" w14:textId="77777777" w:rsidR="00DE4B75" w:rsidRPr="007A1317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15468FC5" w14:textId="4EBA1A8A" w:rsidR="00446C72" w:rsidRPr="00930742" w:rsidRDefault="00930742" w:rsidP="00930742">
      <w:pPr>
        <w:shd w:val="clear" w:color="auto" w:fill="FFFFFF"/>
        <w:ind w:left="720"/>
        <w:rPr>
          <w:rFonts w:ascii="Calibri" w:hAnsi="Calibri"/>
          <w:color w:val="1E68B5"/>
          <w:sz w:val="32"/>
          <w:szCs w:val="20"/>
          <w:lang w:val="en-US"/>
        </w:rPr>
      </w:pPr>
      <w:r w:rsidRPr="00930742">
        <w:rPr>
          <w:rFonts w:ascii="Calibri" w:hAnsi="Calibri"/>
          <w:color w:val="1E68B5"/>
          <w:sz w:val="32"/>
          <w:szCs w:val="20"/>
          <w:lang w:val="en-US"/>
        </w:rPr>
        <w:t xml:space="preserve">New Guardian </w:t>
      </w:r>
      <w:proofErr w:type="spellStart"/>
      <w:r w:rsidRPr="00930742">
        <w:rPr>
          <w:rFonts w:ascii="Calibri" w:hAnsi="Calibri"/>
          <w:color w:val="1E68B5"/>
          <w:sz w:val="32"/>
          <w:szCs w:val="20"/>
          <w:lang w:val="en-US"/>
        </w:rPr>
        <w:t>SunGuard</w:t>
      </w:r>
      <w:proofErr w:type="spellEnd"/>
      <w:r w:rsidRPr="00930742">
        <w:rPr>
          <w:rFonts w:ascii="Calibri" w:hAnsi="Calibri"/>
          <w:color w:val="1E68B5"/>
          <w:sz w:val="32"/>
          <w:szCs w:val="20"/>
          <w:lang w:val="en-US"/>
        </w:rPr>
        <w:t>® SNX 70 glass offers light, comfort and elegance – from every perspective</w:t>
      </w:r>
      <w:r>
        <w:rPr>
          <w:rFonts w:ascii="Calibri" w:hAnsi="Calibri"/>
          <w:color w:val="1E68B5"/>
          <w:sz w:val="32"/>
          <w:szCs w:val="20"/>
          <w:lang w:val="en-US"/>
        </w:rPr>
        <w:t>.</w:t>
      </w:r>
    </w:p>
    <w:p w14:paraId="4F0640B9" w14:textId="2DB383E2" w:rsidR="00446C72" w:rsidRPr="00930742" w:rsidRDefault="00446C72" w:rsidP="00446C72">
      <w:pPr>
        <w:spacing w:line="320" w:lineRule="exact"/>
        <w:ind w:left="1134" w:right="1134"/>
        <w:rPr>
          <w:rFonts w:ascii="Calibri" w:hAnsi="Calibri"/>
          <w:color w:val="414B5A"/>
          <w:sz w:val="20"/>
          <w:szCs w:val="20"/>
          <w:lang w:val="en-US"/>
        </w:rPr>
      </w:pPr>
    </w:p>
    <w:p w14:paraId="130C27C8" w14:textId="5AD736F6" w:rsidR="00DE4B75" w:rsidRPr="00930742" w:rsidRDefault="00BF3C2C" w:rsidP="00BF3C2C">
      <w:pPr>
        <w:spacing w:line="320" w:lineRule="exact"/>
        <w:ind w:left="1134" w:right="1134"/>
        <w:rPr>
          <w:rFonts w:ascii="Calibri" w:hAnsi="Calibri"/>
          <w:color w:val="414B5A"/>
          <w:sz w:val="20"/>
          <w:szCs w:val="20"/>
          <w:lang w:val="en-US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A8A08" wp14:editId="0F4CCD6D">
                <wp:simplePos x="0" y="0"/>
                <wp:positionH relativeFrom="column">
                  <wp:posOffset>8255</wp:posOffset>
                </wp:positionH>
                <wp:positionV relativeFrom="paragraph">
                  <wp:posOffset>12411</wp:posOffset>
                </wp:positionV>
                <wp:extent cx="6479540" cy="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B5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CE5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pt" to="51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" strokecolor="#414b5a" strokeweight="1pt">
                <v:stroke joinstyle="miter"/>
              </v:line>
            </w:pict>
          </mc:Fallback>
        </mc:AlternateContent>
      </w:r>
    </w:p>
    <w:p w14:paraId="19ADC4E6" w14:textId="4F939259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Bertrange, Luxembourg, </w:t>
      </w:r>
      <w:proofErr w:type="spellStart"/>
      <w:r>
        <w:rPr>
          <w:rFonts w:ascii="Calibri" w:hAnsi="Calibri" w:cs="MinionPro-Regular"/>
          <w:color w:val="414B5A"/>
          <w:sz w:val="20"/>
          <w:szCs w:val="20"/>
          <w:lang w:val="fr-LU"/>
        </w:rPr>
        <w:t>December</w:t>
      </w:r>
      <w:proofErr w:type="spellEnd"/>
      <w:r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3</w:t>
      </w: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2021. Guardian Glass Europe has launched the latest product in their leading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®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eXtraSelective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range – Guardian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bookmarkStart w:id="0" w:name="_Hlk88142928"/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®</w:t>
      </w:r>
      <w:bookmarkEnd w:id="0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70. </w:t>
      </w:r>
    </w:p>
    <w:p w14:paraId="3A676327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2B53A077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 is a new triple silver-coated glass that boasts outstanding solar control and light transmission approaching 70% – plus high thermal insulation. Yet it also has a uniquely clean, natural appearance and a subtle reflective quality that achieves a strikingly uniform aesthetic across design contours and different viewing angles. </w:t>
      </w:r>
    </w:p>
    <w:p w14:paraId="423FD224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256D91E9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This means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 offers architects the opportunity to introduce more natural light, possibility of improvements in energy efficiency and comfort for inhabitants, along with a superior design aesthetic. This in turn can lead to enhanced wellbeing for occupants and is particularly relevant for office, </w:t>
      </w:r>
      <w:proofErr w:type="gram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healthcare</w:t>
      </w:r>
      <w:proofErr w:type="gram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and educational buildings, where higher levels of natural light could help encourage focus, recovery and learning.</w:t>
      </w:r>
    </w:p>
    <w:p w14:paraId="77836185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06412F45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The glass is especially effective when combined with Guardian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UltraClear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® as a base – available as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 Ultra. In standard double insulating units this provides 68% light transmission, 32% solar factor, and a Ug value of 1.0 W/m2K. Just as impressive, in standard triple glazed units it offers 62% light transmission, 30% solar factor and a Ug value of 0.5 W/m2K. The glass’ superior transparency also means that views from both inside and out are truer in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color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.</w:t>
      </w:r>
    </w:p>
    <w:p w14:paraId="0DBF189A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771F77B3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 can also assist environmental certification. </w:t>
      </w:r>
      <w:bookmarkStart w:id="1" w:name="_Hlk88142960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As part of the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range in Europe and Russia, </w:t>
      </w:r>
      <w:proofErr w:type="spellStart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SunGuard</w:t>
      </w:r>
      <w:proofErr w:type="spellEnd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SNX 70 has an EPD (Environmental Product Declaration) and has been independently assessed under the Cradle to Cradle Certified® Products program, where it’s certified Bronze.</w:t>
      </w:r>
    </w:p>
    <w:bookmarkEnd w:id="1"/>
    <w:p w14:paraId="0D40113B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6DE1BA01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Aesthetically the glass’ external reflection of 13% can bring an elegant character to buildings – helping them appear more alive in their surroundings and offering greater visual appeal to passers-by.</w:t>
      </w:r>
    </w:p>
    <w:p w14:paraId="07A9B3B3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145F8CE8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Andras Kovacs, Product Manager - Commercialization at Guardian Glass Europe,</w:t>
      </w:r>
      <w:bookmarkStart w:id="2" w:name="OpenAt"/>
      <w:bookmarkEnd w:id="2"/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 says </w:t>
      </w: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br/>
        <w:t xml:space="preserve">“Architects have often had to compromise on the overall look of a facade when it comes to high performance glass. Now SNX 70 offers the perfect balance of solar control, natural light transmission and a strikingly clean aesthetic.” </w:t>
      </w:r>
    </w:p>
    <w:p w14:paraId="30AD6092" w14:textId="77777777" w:rsidR="00930742" w:rsidRPr="00930742" w:rsidRDefault="00930742" w:rsidP="00930742">
      <w:pPr>
        <w:shd w:val="clear" w:color="auto" w:fill="FFFFFF"/>
        <w:rPr>
          <w:rFonts w:ascii="Calibri" w:hAnsi="Calibri" w:cs="MinionPro-Regular"/>
          <w:color w:val="414B5A"/>
          <w:sz w:val="20"/>
          <w:szCs w:val="20"/>
          <w:lang w:val="fr-LU"/>
        </w:rPr>
      </w:pPr>
    </w:p>
    <w:p w14:paraId="065E950A" w14:textId="77777777" w:rsidR="00930742" w:rsidRPr="00930742" w:rsidRDefault="00930742" w:rsidP="00930742">
      <w:pPr>
        <w:shd w:val="clear" w:color="auto" w:fill="FFFFFF"/>
        <w:ind w:left="720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SNX 70 is available in both annealed and heat treatable versions (HT). For more information or to order a product sample, visit </w:t>
      </w:r>
      <w:hyperlink r:id="rId10" w:history="1">
        <w:r w:rsidRPr="00930742">
          <w:rPr>
            <w:rFonts w:ascii="Calibri" w:hAnsi="Calibri" w:cs="MinionPro-Regular"/>
            <w:color w:val="414B5A"/>
            <w:sz w:val="20"/>
            <w:szCs w:val="20"/>
            <w:lang w:val="fr-LU"/>
          </w:rPr>
          <w:t>guardianglass.com</w:t>
        </w:r>
      </w:hyperlink>
      <w:r w:rsidRPr="00930742">
        <w:rPr>
          <w:rFonts w:ascii="Calibri" w:hAnsi="Calibri" w:cs="MinionPro-Regular"/>
          <w:color w:val="414B5A"/>
          <w:sz w:val="20"/>
          <w:szCs w:val="20"/>
          <w:lang w:val="fr-LU"/>
        </w:rPr>
        <w:t>.</w:t>
      </w:r>
    </w:p>
    <w:p w14:paraId="76F9D155" w14:textId="77777777" w:rsidR="002F1C16" w:rsidRPr="002F1C16" w:rsidRDefault="002F1C16" w:rsidP="00BF3C2C">
      <w:pPr>
        <w:spacing w:line="320" w:lineRule="exact"/>
        <w:ind w:right="1134"/>
        <w:rPr>
          <w:rFonts w:ascii="Calibri" w:hAnsi="Calibri" w:cs="MinionPro-Regular"/>
          <w:color w:val="414B5A"/>
          <w:sz w:val="20"/>
          <w:szCs w:val="20"/>
          <w:lang w:val="fr-FR"/>
        </w:rPr>
      </w:pPr>
    </w:p>
    <w:p w14:paraId="68E0A1E9" w14:textId="77777777" w:rsidR="00B65E8A" w:rsidRPr="00DE4B75" w:rsidRDefault="00DE4B75" w:rsidP="00930742">
      <w:pPr>
        <w:spacing w:line="320" w:lineRule="exact"/>
        <w:ind w:right="1134" w:firstLine="720"/>
        <w:rPr>
          <w:rFonts w:ascii="Calibri" w:hAnsi="Calibri" w:cs="MinionPro-Regular"/>
          <w:b/>
          <w:color w:val="414B5A"/>
          <w:sz w:val="20"/>
          <w:szCs w:val="20"/>
        </w:rPr>
      </w:pPr>
      <w:r w:rsidRPr="00DE4B75">
        <w:rPr>
          <w:rFonts w:ascii="Calibri" w:hAnsi="Calibri" w:cs="MinionPro-Regular"/>
          <w:b/>
          <w:color w:val="414B5A"/>
          <w:sz w:val="20"/>
          <w:szCs w:val="20"/>
        </w:rPr>
        <w:t>PRESS CONTACT:</w:t>
      </w:r>
    </w:p>
    <w:p w14:paraId="0CB0678D" w14:textId="1F97346A" w:rsidR="00DE4B75" w:rsidRPr="00B65E8A" w:rsidRDefault="00930742" w:rsidP="00930742">
      <w:pPr>
        <w:spacing w:line="320" w:lineRule="exact"/>
        <w:ind w:left="720" w:right="1134"/>
        <w:rPr>
          <w:rFonts w:ascii="Calibri" w:hAnsi="Calibri" w:cs="MinionPro-Regular"/>
          <w:color w:val="414B5A"/>
          <w:sz w:val="20"/>
          <w:szCs w:val="20"/>
        </w:rPr>
      </w:pPr>
      <w:r>
        <w:rPr>
          <w:rFonts w:ascii="Calibri" w:hAnsi="Calibri" w:cs="MinionPro-Regular"/>
          <w:color w:val="414B5A"/>
          <w:sz w:val="20"/>
          <w:szCs w:val="20"/>
        </w:rPr>
        <w:t>Sophie Weckx</w:t>
      </w:r>
      <w:r w:rsidR="00DE4B75">
        <w:rPr>
          <w:rFonts w:ascii="Calibri" w:hAnsi="Calibri" w:cs="MinionPro-Regular"/>
          <w:color w:val="414B5A"/>
          <w:sz w:val="20"/>
          <w:szCs w:val="20"/>
        </w:rPr>
        <w:br/>
        <w:t>Guardia</w:t>
      </w:r>
      <w:r>
        <w:rPr>
          <w:rFonts w:ascii="Calibri" w:hAnsi="Calibri" w:cs="MinionPro-Regular"/>
          <w:color w:val="414B5A"/>
          <w:sz w:val="20"/>
          <w:szCs w:val="20"/>
        </w:rPr>
        <w:t>n</w:t>
      </w:r>
      <w:r w:rsidR="00DE4B75">
        <w:rPr>
          <w:rFonts w:ascii="Calibri" w:hAnsi="Calibri" w:cs="MinionPro-Regular"/>
          <w:color w:val="414B5A"/>
          <w:sz w:val="20"/>
          <w:szCs w:val="20"/>
        </w:rPr>
        <w:t xml:space="preserve"> Glass,</w:t>
      </w:r>
      <w:r w:rsidR="00DE4B75">
        <w:rPr>
          <w:rFonts w:ascii="Calibri" w:hAnsi="Calibri" w:cs="MinionPro-Regular"/>
          <w:color w:val="414B5A"/>
          <w:sz w:val="20"/>
          <w:szCs w:val="20"/>
        </w:rPr>
        <w:br/>
      </w:r>
      <w:r>
        <w:rPr>
          <w:rFonts w:ascii="Calibri" w:hAnsi="Calibri" w:cs="MinionPro-Regular"/>
          <w:color w:val="414B5A"/>
          <w:sz w:val="20"/>
          <w:szCs w:val="20"/>
        </w:rPr>
        <w:t>sweckx</w:t>
      </w:r>
      <w:r w:rsidR="00DE4B75">
        <w:rPr>
          <w:rFonts w:ascii="Calibri" w:hAnsi="Calibri" w:cs="MinionPro-Regular"/>
          <w:color w:val="414B5A"/>
          <w:sz w:val="20"/>
          <w:szCs w:val="20"/>
        </w:rPr>
        <w:t>@guardian.com</w:t>
      </w:r>
    </w:p>
    <w:sectPr w:rsidR="00DE4B75" w:rsidRPr="00B65E8A" w:rsidSect="00B65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7AA" w14:textId="77777777" w:rsidR="00125C9F" w:rsidRDefault="00125C9F" w:rsidP="0011626E">
      <w:r>
        <w:separator/>
      </w:r>
    </w:p>
  </w:endnote>
  <w:endnote w:type="continuationSeparator" w:id="0">
    <w:p w14:paraId="556EAD33" w14:textId="77777777" w:rsidR="00125C9F" w:rsidRDefault="00125C9F" w:rsidP="001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EB7E" w14:textId="77777777" w:rsidR="00FD6908" w:rsidRDefault="00FD6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C87" w14:textId="77777777" w:rsidR="00DE4B75" w:rsidRDefault="00DE4B75" w:rsidP="00E67D16">
    <w:pPr>
      <w:pStyle w:val="Footer"/>
      <w:ind w:left="-709"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FEA1" wp14:editId="595217DD">
              <wp:simplePos x="0" y="0"/>
              <wp:positionH relativeFrom="column">
                <wp:posOffset>4328372</wp:posOffset>
              </wp:positionH>
              <wp:positionV relativeFrom="paragraph">
                <wp:posOffset>812800</wp:posOffset>
              </wp:positionV>
              <wp:extent cx="1602000" cy="457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4CF9" w14:textId="5B942015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Guardian Europe </w:t>
                          </w:r>
                          <w:proofErr w:type="spellStart"/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>S.à.r.l</w:t>
                          </w:r>
                          <w:proofErr w:type="spellEnd"/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65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FD6908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1FFFA9FA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2E28942B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FFE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B0D0E7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FEA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left:0;text-align:left;margin-left:340.8pt;margin-top:64pt;width:12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" filled="f" stroked="f">
              <v:textbox>
                <w:txbxContent>
                  <w:p w14:paraId="34724CF9" w14:textId="5B942015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Guardian Europe </w:t>
                    </w:r>
                    <w:proofErr w:type="spellStart"/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>S.à.r.l</w:t>
                    </w:r>
                    <w:proofErr w:type="spellEnd"/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r w:rsidRPr="009C65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FD6908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1FFFA9FA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2E28942B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5C8FFE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B0D0E7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6A6E06" wp14:editId="370BB5DF">
          <wp:extent cx="7531200" cy="1710000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and_De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1200" cy="17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06B" w14:textId="77777777" w:rsidR="00DE4B75" w:rsidRDefault="00DE4B75" w:rsidP="00B65E8A">
    <w:pPr>
      <w:pStyle w:val="Footer"/>
      <w:ind w:left="-709" w:hanging="1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2114B" wp14:editId="74FE3D0A">
              <wp:simplePos x="0" y="0"/>
              <wp:positionH relativeFrom="column">
                <wp:posOffset>4327525</wp:posOffset>
              </wp:positionH>
              <wp:positionV relativeFrom="paragraph">
                <wp:posOffset>813435</wp:posOffset>
              </wp:positionV>
              <wp:extent cx="1602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F8ECD" w14:textId="0CDCEC65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Guardian Europe </w:t>
                          </w:r>
                          <w:proofErr w:type="spellStart"/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>S.à.r.l</w:t>
                          </w:r>
                          <w:proofErr w:type="spellEnd"/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65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FD6908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75C64B3A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340DA8B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7A0CE4AE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BADCD69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11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0.75pt;margin-top:64.05pt;width:126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" filled="f" stroked="f">
              <v:textbox>
                <w:txbxContent>
                  <w:p w14:paraId="7F6F8ECD" w14:textId="0CDCEC65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Guardian Europe </w:t>
                    </w:r>
                    <w:proofErr w:type="spellStart"/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>S.à.r.l</w:t>
                    </w:r>
                    <w:proofErr w:type="spellEnd"/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r w:rsidRPr="009C65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FD6908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75C64B3A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340DA8B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7A0CE4AE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BADCD69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8789DD2" wp14:editId="264B5E6D">
          <wp:extent cx="7538623" cy="1710000"/>
          <wp:effectExtent l="0" t="0" r="0" b="0"/>
          <wp:docPr id="1" name="Picture 1" descr="A picture containing monitor, display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display, screen, televis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8623" cy="171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59D" w14:textId="77777777" w:rsidR="00125C9F" w:rsidRDefault="00125C9F" w:rsidP="0011626E">
      <w:r>
        <w:separator/>
      </w:r>
    </w:p>
  </w:footnote>
  <w:footnote w:type="continuationSeparator" w:id="0">
    <w:p w14:paraId="38524FF9" w14:textId="77777777" w:rsidR="00125C9F" w:rsidRDefault="00125C9F" w:rsidP="0011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0DF7" w14:textId="77777777" w:rsidR="00FD6908" w:rsidRDefault="00FD6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BB92" w14:textId="77777777" w:rsidR="00FD6908" w:rsidRDefault="00FD6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EDDA" w14:textId="6F7F118B" w:rsidR="006F0B14" w:rsidRDefault="006F0B14" w:rsidP="006F0B14">
    <w:pPr>
      <w:rPr>
        <w:rFonts w:ascii="Helvetica" w:hAnsi="Helvetica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718081B" wp14:editId="63B5BCEC">
          <wp:simplePos x="0" y="0"/>
          <wp:positionH relativeFrom="margin">
            <wp:posOffset>4951095</wp:posOffset>
          </wp:positionH>
          <wp:positionV relativeFrom="margin">
            <wp:posOffset>-595630</wp:posOffset>
          </wp:positionV>
          <wp:extent cx="1714500" cy="478155"/>
          <wp:effectExtent l="0" t="0" r="12700" b="4445"/>
          <wp:wrapSquare wrapText="bothSides"/>
          <wp:docPr id="96" name="Picture 9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A0B02B" w14:textId="56CF7317" w:rsidR="006F0B14" w:rsidRDefault="006F0B14" w:rsidP="006F0B14">
    <w:pPr>
      <w:rPr>
        <w:rFonts w:ascii="Helvetica" w:hAnsi="Helvetica"/>
      </w:rPr>
    </w:pPr>
    <w:r>
      <w:rPr>
        <w:rFonts w:ascii="Helvetica" w:hAnsi="Helvetica"/>
        <w:noProof/>
        <w:lang w:val="en-US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1E7405B" wp14:editId="4AA2ECD8">
              <wp:simplePos x="0" y="0"/>
              <wp:positionH relativeFrom="column">
                <wp:posOffset>462</wp:posOffset>
              </wp:positionH>
              <wp:positionV relativeFrom="paragraph">
                <wp:posOffset>59055</wp:posOffset>
              </wp:positionV>
              <wp:extent cx="1808480" cy="3581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8480" cy="358140"/>
                      </a:xfrm>
                      <a:prstGeom prst="rect">
                        <a:avLst/>
                      </a:prstGeom>
                      <a:solidFill>
                        <a:srgbClr val="F0144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E41B30" id="Rectangle 5" o:spid="_x0000_s1026" style="position:absolute;margin-left:.05pt;margin-top:4.65pt;width:142.4pt;height:28.2pt;z-index:-25165209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" fillcolor="#f0144f" stroked="f" strokeweight=".5pt"/>
          </w:pict>
        </mc:Fallback>
      </mc:AlternateContent>
    </w:r>
  </w:p>
  <w:p w14:paraId="089331B9" w14:textId="67650098" w:rsidR="006F0B14" w:rsidRDefault="006F0B14" w:rsidP="006F0B14">
    <w:pPr>
      <w:spacing w:line="320" w:lineRule="exact"/>
      <w:ind w:right="1134"/>
      <w:rPr>
        <w:rFonts w:ascii="Calibri" w:hAnsi="Calibri"/>
        <w:color w:val="FFFFFF" w:themeColor="background1"/>
        <w:sz w:val="40"/>
        <w:szCs w:val="20"/>
      </w:rPr>
    </w:pPr>
    <w:r>
      <w:rPr>
        <w:rFonts w:ascii="Calibri" w:hAnsi="Calibri"/>
        <w:color w:val="FFFFFF" w:themeColor="background1"/>
        <w:sz w:val="40"/>
        <w:szCs w:val="20"/>
      </w:rPr>
      <w:t xml:space="preserve">  </w:t>
    </w:r>
    <w:r w:rsidRPr="007A1317">
      <w:rPr>
        <w:rFonts w:ascii="Calibri" w:hAnsi="Calibri"/>
        <w:color w:val="FFFFFF" w:themeColor="background1"/>
        <w:sz w:val="40"/>
        <w:szCs w:val="20"/>
      </w:rPr>
      <w:t>PRESS RELEASE</w:t>
    </w:r>
  </w:p>
  <w:p w14:paraId="09AF2F85" w14:textId="30E9B6A8" w:rsidR="00DE4B75" w:rsidRDefault="00DE4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L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4"/>
    <w:rsid w:val="0008539D"/>
    <w:rsid w:val="0011626E"/>
    <w:rsid w:val="00125C9F"/>
    <w:rsid w:val="00133EC5"/>
    <w:rsid w:val="0022523F"/>
    <w:rsid w:val="0024429F"/>
    <w:rsid w:val="00294650"/>
    <w:rsid w:val="002E56FC"/>
    <w:rsid w:val="002F1C16"/>
    <w:rsid w:val="00341BEC"/>
    <w:rsid w:val="00382816"/>
    <w:rsid w:val="004138A2"/>
    <w:rsid w:val="00446C72"/>
    <w:rsid w:val="00475144"/>
    <w:rsid w:val="00480569"/>
    <w:rsid w:val="00533B5C"/>
    <w:rsid w:val="00573F05"/>
    <w:rsid w:val="005B38F7"/>
    <w:rsid w:val="005C47C6"/>
    <w:rsid w:val="006F0B14"/>
    <w:rsid w:val="00777F62"/>
    <w:rsid w:val="007A1317"/>
    <w:rsid w:val="00815E56"/>
    <w:rsid w:val="008D7994"/>
    <w:rsid w:val="009131B9"/>
    <w:rsid w:val="00930742"/>
    <w:rsid w:val="009C655E"/>
    <w:rsid w:val="00AC2F24"/>
    <w:rsid w:val="00AD2413"/>
    <w:rsid w:val="00B14BD5"/>
    <w:rsid w:val="00B65E8A"/>
    <w:rsid w:val="00B7634E"/>
    <w:rsid w:val="00BF3C2C"/>
    <w:rsid w:val="00C8031B"/>
    <w:rsid w:val="00C822A6"/>
    <w:rsid w:val="00DA0133"/>
    <w:rsid w:val="00DD10CA"/>
    <w:rsid w:val="00DE4B75"/>
    <w:rsid w:val="00E67D16"/>
    <w:rsid w:val="00EC5F20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A5F546"/>
  <w14:defaultImageDpi w14:val="300"/>
  <w15:docId w15:val="{F7B06C7D-0497-4A1A-94A6-463E1A52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6E"/>
  </w:style>
  <w:style w:type="paragraph" w:styleId="Footer">
    <w:name w:val="footer"/>
    <w:basedOn w:val="Normal"/>
    <w:link w:val="FooterChar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6E"/>
  </w:style>
  <w:style w:type="paragraph" w:styleId="BalloonText">
    <w:name w:val="Balloon Text"/>
    <w:basedOn w:val="Normal"/>
    <w:link w:val="BalloonTextChar"/>
    <w:uiPriority w:val="99"/>
    <w:semiHidden/>
    <w:unhideWhenUsed/>
    <w:rsid w:val="0011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13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828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uardianglass.com/eu/en/our-glass/solar-control-glass/sunguard-extraselective/product.19942.snx-70?page=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uardian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ardian2" id="{58D850FC-102D-AB43-9067-CA041F1F242C}" vid="{381FC17D-F94F-B042-8831-0796864508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E59901FB29643A8465DE04C06A5D7" ma:contentTypeVersion="10" ma:contentTypeDescription="Create a new document." ma:contentTypeScope="" ma:versionID="01d2ca2a285fae70477f6ea74b1e6858">
  <xsd:schema xmlns:xsd="http://www.w3.org/2001/XMLSchema" xmlns:xs="http://www.w3.org/2001/XMLSchema" xmlns:p="http://schemas.microsoft.com/office/2006/metadata/properties" xmlns:ns2="05cf3986-cd2f-4ed4-9530-64acedbc552d" xmlns:ns3="3bfab70b-64f5-4ea9-ad56-ef09a7bd47f4" targetNamespace="http://schemas.microsoft.com/office/2006/metadata/properties" ma:root="true" ma:fieldsID="d3d96e790fef10cc08561bdcd0880391" ns2:_="" ns3:_="">
    <xsd:import namespace="05cf3986-cd2f-4ed4-9530-64acedbc552d"/>
    <xsd:import namespace="3bfab70b-64f5-4ea9-ad56-ef09a7bd4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f3986-cd2f-4ed4-9530-64acedbc5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b70b-64f5-4ea9-ad56-ef09a7bd4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ab70b-64f5-4ea9-ad56-ef09a7bd4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C668B0-5CE7-4A85-A8AF-B37CCA9E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f3986-cd2f-4ed4-9530-64acedbc552d"/>
    <ds:schemaRef ds:uri="3bfab70b-64f5-4ea9-ad56-ef09a7bd4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21991-7F06-495B-B71D-D55D43D4B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D9FDE-25F2-5D48-85EB-652E3B7AD4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BFFF0-38BE-4A5C-A7EB-54ADE3595697}">
  <ds:schemaRefs>
    <ds:schemaRef ds:uri="http://schemas.microsoft.com/office/2006/metadata/properties"/>
    <ds:schemaRef ds:uri="http://schemas.microsoft.com/office/infopath/2007/PartnerControls"/>
    <ds:schemaRef ds:uri="3bfab70b-64f5-4ea9-ad56-ef09a7bd4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Foreman</dc:creator>
  <cp:keywords/>
  <dc:description/>
  <cp:lastModifiedBy>Weckx, Sophie</cp:lastModifiedBy>
  <cp:revision>2</cp:revision>
  <dcterms:created xsi:type="dcterms:W3CDTF">2021-12-03T09:58:00Z</dcterms:created>
  <dcterms:modified xsi:type="dcterms:W3CDTF">2021-12-03T09:58:00Z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0x010100F7FE59901FB29643A8465DE04C06A5D7</vt:lpwstr>
  </property>
  <property fmtid="{D5CDD505-2E9C-101B-9397-08002B2CF9AE}" pid="3" name="Order">
    <vt:r8>541400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