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D" w:rsidRDefault="009740BE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  <w:r w:rsidRPr="00DF7199">
        <w:rPr>
          <w:rFonts w:ascii="Arial" w:hAnsi="Arial" w:cs="Arial"/>
          <w:b/>
          <w:bCs/>
          <w:sz w:val="32"/>
          <w:szCs w:val="32"/>
          <w:lang w:val="fr-FR"/>
        </w:rPr>
        <w:t>Buehler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t xml:space="preserve"> a déménagé</w:t>
      </w:r>
      <w:r w:rsidR="00155FAA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br/>
        <w:t>davantage d</w:t>
      </w:r>
      <w:r w:rsidR="00446012">
        <w:rPr>
          <w:rFonts w:ascii="Arial" w:hAnsi="Arial" w:cs="Arial"/>
          <w:b/>
          <w:bCs/>
          <w:sz w:val="32"/>
          <w:szCs w:val="32"/>
          <w:lang w:val="fr-FR"/>
        </w:rPr>
        <w:t>’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t>espace pour le développement, l</w:t>
      </w:r>
      <w:r w:rsidR="00446012">
        <w:rPr>
          <w:rFonts w:ascii="Arial" w:hAnsi="Arial" w:cs="Arial"/>
          <w:b/>
          <w:bCs/>
          <w:sz w:val="32"/>
          <w:szCs w:val="32"/>
          <w:lang w:val="fr-FR"/>
        </w:rPr>
        <w:t>’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t>atelier d</w:t>
      </w:r>
      <w:r w:rsidR="00446012">
        <w:rPr>
          <w:rFonts w:ascii="Arial" w:hAnsi="Arial" w:cs="Arial"/>
          <w:b/>
          <w:bCs/>
          <w:sz w:val="32"/>
          <w:szCs w:val="32"/>
          <w:lang w:val="fr-FR"/>
        </w:rPr>
        <w:t>’</w:t>
      </w:r>
      <w:r w:rsidRPr="008B787C">
        <w:rPr>
          <w:rFonts w:ascii="Arial" w:hAnsi="Arial" w:cs="Arial"/>
          <w:b/>
          <w:bCs/>
          <w:sz w:val="32"/>
          <w:szCs w:val="32"/>
          <w:lang w:val="fr-FR"/>
        </w:rPr>
        <w:t>entretien et les séminaires</w:t>
      </w:r>
    </w:p>
    <w:p w:rsidR="00BD3815" w:rsidRDefault="00E45B8F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  <w:r w:rsidRPr="00902D31">
        <w:rPr>
          <w:noProof/>
          <w:highlight w:val="green"/>
        </w:rPr>
        <w:drawing>
          <wp:anchor distT="0" distB="0" distL="114300" distR="114300" simplePos="0" relativeHeight="251659264" behindDoc="0" locked="0" layoutInCell="1" allowOverlap="0" wp14:anchorId="16E634A3" wp14:editId="187DFE53">
            <wp:simplePos x="0" y="0"/>
            <wp:positionH relativeFrom="column">
              <wp:posOffset>149225</wp:posOffset>
            </wp:positionH>
            <wp:positionV relativeFrom="page">
              <wp:posOffset>3298825</wp:posOffset>
            </wp:positionV>
            <wp:extent cx="1866900" cy="2508885"/>
            <wp:effectExtent l="152400" t="152400" r="361950" b="3676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0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D31">
        <w:rPr>
          <w:noProof/>
          <w:highlight w:val="green"/>
        </w:rPr>
        <w:drawing>
          <wp:anchor distT="0" distB="0" distL="114300" distR="114300" simplePos="0" relativeHeight="251660288" behindDoc="0" locked="0" layoutInCell="1" allowOverlap="0" wp14:anchorId="349276F7" wp14:editId="71EAC023">
            <wp:simplePos x="0" y="0"/>
            <wp:positionH relativeFrom="column">
              <wp:posOffset>2542540</wp:posOffset>
            </wp:positionH>
            <wp:positionV relativeFrom="page">
              <wp:posOffset>3299129</wp:posOffset>
            </wp:positionV>
            <wp:extent cx="3345600" cy="2509200"/>
            <wp:effectExtent l="152400" t="152400" r="369570" b="3676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00" cy="250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BD3815" w:rsidRPr="008B787C" w:rsidRDefault="00BD3815" w:rsidP="009740BE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sz w:val="24"/>
          <w:szCs w:val="24"/>
          <w:highlight w:val="yellow"/>
          <w:lang w:val="fr-FR"/>
        </w:rPr>
      </w:pPr>
    </w:p>
    <w:p w:rsidR="009740BE" w:rsidRPr="008B787C" w:rsidRDefault="009740BE" w:rsidP="009740BE">
      <w:pPr>
        <w:spacing w:before="120" w:after="120" w:line="240" w:lineRule="auto"/>
        <w:rPr>
          <w:rFonts w:ascii="Arial" w:hAnsi="Arial"/>
          <w:i/>
          <w:color w:val="231F20"/>
          <w:sz w:val="20"/>
          <w:szCs w:val="20"/>
          <w:lang w:val="fr-FR"/>
        </w:rPr>
      </w:pPr>
      <w:r w:rsidRPr="008B787C">
        <w:rPr>
          <w:rFonts w:ascii="Arial" w:hAnsi="Arial"/>
          <w:i/>
          <w:color w:val="231F20"/>
          <w:sz w:val="20"/>
          <w:szCs w:val="20"/>
          <w:lang w:val="fr-FR"/>
        </w:rPr>
        <w:t>Le vaste laboratoire est équipé d</w:t>
      </w:r>
      <w:r w:rsidR="00446012">
        <w:rPr>
          <w:rFonts w:ascii="Arial" w:hAnsi="Arial"/>
          <w:i/>
          <w:color w:val="231F20"/>
          <w:sz w:val="20"/>
          <w:szCs w:val="20"/>
          <w:lang w:val="fr-FR"/>
        </w:rPr>
        <w:t>’</w:t>
      </w:r>
      <w:r w:rsidRPr="008B787C">
        <w:rPr>
          <w:rFonts w:ascii="Arial" w:hAnsi="Arial"/>
          <w:i/>
          <w:color w:val="231F20"/>
          <w:sz w:val="20"/>
          <w:szCs w:val="20"/>
          <w:lang w:val="fr-FR"/>
        </w:rPr>
        <w:t>appareils de pointe pour la préparation des échantillons matérialographiques et les essais de duret</w:t>
      </w:r>
      <w:bookmarkStart w:id="0" w:name="_GoBack"/>
      <w:bookmarkEnd w:id="0"/>
      <w:r w:rsidRPr="008B787C">
        <w:rPr>
          <w:rFonts w:ascii="Arial" w:hAnsi="Arial"/>
          <w:i/>
          <w:color w:val="231F20"/>
          <w:sz w:val="20"/>
          <w:szCs w:val="20"/>
          <w:lang w:val="fr-FR"/>
        </w:rPr>
        <w:t>é. © Buehler</w:t>
      </w:r>
    </w:p>
    <w:p w:rsidR="005D5DCF" w:rsidRPr="008B787C" w:rsidRDefault="00602429" w:rsidP="008006B9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proofErr w:type="spellStart"/>
      <w:r w:rsidRPr="008B787C">
        <w:rPr>
          <w:rFonts w:ascii="Arial" w:hAnsi="Arial" w:cs="Arial"/>
          <w:sz w:val="24"/>
          <w:szCs w:val="24"/>
          <w:lang w:val="fr-FR"/>
        </w:rPr>
        <w:t>Leinfelden-Echterdingen</w:t>
      </w:r>
      <w:proofErr w:type="spellEnd"/>
      <w:r w:rsidRPr="008B787C">
        <w:rPr>
          <w:rFonts w:ascii="Arial" w:hAnsi="Arial" w:cs="Arial"/>
          <w:sz w:val="24"/>
          <w:szCs w:val="24"/>
          <w:lang w:val="fr-FR"/>
        </w:rPr>
        <w:t xml:space="preserve">, </w:t>
      </w:r>
      <w:r w:rsidR="00DF7199">
        <w:rPr>
          <w:rFonts w:ascii="Arial" w:hAnsi="Arial" w:cs="Arial"/>
          <w:sz w:val="24"/>
          <w:szCs w:val="24"/>
          <w:lang w:val="fr-FR"/>
        </w:rPr>
        <w:t xml:space="preserve">Allemagne, </w:t>
      </w:r>
      <w:r w:rsidR="001B4961">
        <w:rPr>
          <w:rFonts w:ascii="Arial" w:hAnsi="Arial" w:cs="Arial"/>
          <w:sz w:val="24"/>
          <w:szCs w:val="24"/>
          <w:lang w:val="fr-FR"/>
        </w:rPr>
        <w:t>déc</w:t>
      </w:r>
      <w:r w:rsidRPr="008B787C">
        <w:rPr>
          <w:rFonts w:ascii="Arial" w:hAnsi="Arial" w:cs="Arial"/>
          <w:sz w:val="24"/>
          <w:szCs w:val="24"/>
          <w:lang w:val="fr-FR"/>
        </w:rPr>
        <w:t>embre 2021 –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entreprise Buehler ITW Test &amp; Measurement GmbH, a quitté Esslingen (Allemagne) pour installer son siège social, son service de développement et son atelier d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entretien sur un site plus facile d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accès, situé à Leinfelden-Echterdingen, à proximité de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aéroport et du parc des expositions de Stuttgart. Prêts juste à temps pour les festivités à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occasion du 85</w:t>
      </w:r>
      <w:r w:rsidRPr="008B787C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 w:rsidRPr="008B787C">
        <w:rPr>
          <w:rFonts w:ascii="Arial" w:hAnsi="Arial" w:cs="Arial"/>
          <w:sz w:val="24"/>
          <w:szCs w:val="24"/>
          <w:lang w:val="fr-FR"/>
        </w:rPr>
        <w:t xml:space="preserve"> anniversaire de Buehler, les nouveaux locaux spacieux répartis sur deux étages offrent aux douze collaborateurs un lieu de travail confortable, à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ambiance conviviale. C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est aussi de là que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entreprise coordonne ses activités avec son partenaire OMNILAB, établi à Brême. Depuis fin</w:t>
      </w:r>
      <w:r w:rsidR="00155FAA">
        <w:rPr>
          <w:rFonts w:ascii="Arial" w:hAnsi="Arial" w:cs="Arial"/>
          <w:sz w:val="24"/>
          <w:szCs w:val="24"/>
          <w:lang w:val="fr-FR"/>
        </w:rPr>
        <w:t> </w:t>
      </w:r>
      <w:r w:rsidRPr="008B787C">
        <w:rPr>
          <w:rFonts w:ascii="Arial" w:hAnsi="Arial" w:cs="Arial"/>
          <w:sz w:val="24"/>
          <w:szCs w:val="24"/>
          <w:lang w:val="fr-FR"/>
        </w:rPr>
        <w:t>2020, ce distributeur indépendant de produits de laboratoire,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un des plus grands d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Allemagne, assure la gestion des stocks des divers systèmes, pièces de rechange et consommables utilisés pour la préparation et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>analyse des matériaux et est en charge du service clientèle.</w:t>
      </w:r>
    </w:p>
    <w:p w:rsidR="0023394B" w:rsidRDefault="005D5DCF" w:rsidP="008006B9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8B787C">
        <w:rPr>
          <w:rFonts w:ascii="Arial" w:hAnsi="Arial" w:cs="Arial"/>
          <w:color w:val="231F20"/>
          <w:sz w:val="24"/>
          <w:szCs w:val="24"/>
          <w:lang w:val="fr-FR"/>
        </w:rPr>
        <w:t>Le vaste laboratoire dispose d</w:t>
      </w:r>
      <w:r w:rsidR="00446012">
        <w:rPr>
          <w:rFonts w:ascii="Arial" w:hAnsi="Arial" w:cs="Arial"/>
          <w:color w:val="231F20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color w:val="231F20"/>
          <w:sz w:val="24"/>
          <w:szCs w:val="24"/>
          <w:lang w:val="fr-FR"/>
        </w:rPr>
        <w:t>appareils de pointe pour la préparation des échantillons matérialographiques, et de duromètres dernière génération dotés d</w:t>
      </w:r>
      <w:r w:rsidR="00446012">
        <w:rPr>
          <w:rFonts w:ascii="Arial" w:hAnsi="Arial" w:cs="Arial"/>
          <w:color w:val="231F20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color w:val="231F20"/>
          <w:sz w:val="24"/>
          <w:szCs w:val="24"/>
          <w:lang w:val="fr-FR"/>
        </w:rPr>
        <w:t>un logiciel d</w:t>
      </w:r>
      <w:r w:rsidR="00446012">
        <w:rPr>
          <w:rFonts w:ascii="Arial" w:hAnsi="Arial" w:cs="Arial"/>
          <w:color w:val="231F20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color w:val="231F20"/>
          <w:sz w:val="24"/>
          <w:szCs w:val="24"/>
          <w:lang w:val="fr-FR"/>
        </w:rPr>
        <w:t xml:space="preserve">essai dédié. Ces divers équipements lui permettront de résoudre les problèmes particuliers des clients nationaux et internationaux, mais également </w:t>
      </w:r>
      <w:r w:rsidRPr="008B787C">
        <w:rPr>
          <w:rFonts w:ascii="Arial" w:hAnsi="Arial" w:cs="Arial"/>
          <w:color w:val="231F20"/>
          <w:sz w:val="24"/>
          <w:szCs w:val="24"/>
          <w:lang w:val="fr-FR"/>
        </w:rPr>
        <w:lastRenderedPageBreak/>
        <w:t>d</w:t>
      </w:r>
      <w:r w:rsidR="00446012">
        <w:rPr>
          <w:rFonts w:ascii="Arial" w:hAnsi="Arial" w:cs="Arial"/>
          <w:color w:val="231F20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color w:val="231F20"/>
          <w:sz w:val="24"/>
          <w:szCs w:val="24"/>
          <w:lang w:val="fr-FR"/>
        </w:rPr>
        <w:t xml:space="preserve">accueillir des séminaires et formations. </w:t>
      </w:r>
      <w:r w:rsidRPr="008B787C">
        <w:rPr>
          <w:rFonts w:ascii="Arial" w:hAnsi="Arial" w:cs="Arial"/>
          <w:sz w:val="24"/>
          <w:szCs w:val="24"/>
          <w:lang w:val="fr-FR"/>
        </w:rPr>
        <w:t>Les premiers cours SumMet qui auront lieu dès début</w:t>
      </w:r>
      <w:r w:rsidR="00155FAA">
        <w:rPr>
          <w:rFonts w:ascii="Arial" w:hAnsi="Arial" w:cs="Arial"/>
          <w:sz w:val="24"/>
          <w:szCs w:val="24"/>
          <w:lang w:val="fr-FR"/>
        </w:rPr>
        <w:t> </w:t>
      </w:r>
      <w:r w:rsidRPr="008B787C">
        <w:rPr>
          <w:rFonts w:ascii="Arial" w:hAnsi="Arial" w:cs="Arial"/>
          <w:sz w:val="24"/>
          <w:szCs w:val="24"/>
          <w:lang w:val="fr-FR"/>
        </w:rPr>
        <w:t>2022 et lors desquels Buehler partagera avec les participants son savoir-faire approfondi sur la préparation et l</w:t>
      </w:r>
      <w:r w:rsidR="00446012">
        <w:rPr>
          <w:rFonts w:ascii="Arial" w:hAnsi="Arial" w:cs="Arial"/>
          <w:sz w:val="24"/>
          <w:szCs w:val="24"/>
          <w:lang w:val="fr-FR"/>
        </w:rPr>
        <w:t>’</w:t>
      </w:r>
      <w:r w:rsidRPr="008B787C">
        <w:rPr>
          <w:rFonts w:ascii="Arial" w:hAnsi="Arial" w:cs="Arial"/>
          <w:sz w:val="24"/>
          <w:szCs w:val="24"/>
          <w:lang w:val="fr-FR"/>
        </w:rPr>
        <w:t xml:space="preserve">analyse des échantillons de matériaux, constitueront la première occasion pour ces installations de faire leurs preuves. </w:t>
      </w:r>
    </w:p>
    <w:p w:rsidR="00AC5AE1" w:rsidRPr="00DC0F64" w:rsidRDefault="00AC5AE1" w:rsidP="00AC5AE1">
      <w:pPr>
        <w:spacing w:before="24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b/>
          <w:bCs/>
          <w:sz w:val="20"/>
          <w:szCs w:val="20"/>
          <w:lang w:val="fr-FR"/>
        </w:rPr>
        <w:t>Buehler – ITW Test &amp; Measurement GmbH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</w:t>
      </w:r>
      <w:r w:rsidRPr="00DC0F64">
        <w:rPr>
          <w:rFonts w:ascii="Arial" w:hAnsi="Arial" w:cs="Arial"/>
          <w:b/>
          <w:bCs/>
          <w:sz w:val="20"/>
          <w:szCs w:val="20"/>
          <w:lang w:val="fr-FR"/>
        </w:rPr>
        <w:t>Esslingen (Allemagne)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est depuis 1936 l’un des principaux fabricants d’instruments, de consommables et d’accessoires destinés à la métallographie et à l’analyse des matériaux. L’entreprise propose en outre une vaste gamme de duromètres et de systèmes d’essais de dureté. Un réseau dense de succursales et de distributeurs permet à ses clients de bénéficier d’une expertise et d’un service professionnels partout dans le monde. Les Centres de Solutions Buehler, notamment ceux d’Esslingen et de </w:t>
      </w:r>
      <w:r w:rsidRPr="00DC0F64">
        <w:rPr>
          <w:lang w:val="fr-FR"/>
        </w:rPr>
        <w:t>Düsseldorf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en Allemagne, de </w:t>
      </w:r>
      <w:r w:rsidRPr="00DC0F64">
        <w:rPr>
          <w:lang w:val="fr-FR"/>
        </w:rPr>
        <w:t xml:space="preserve">Dardilly en France et de Coventry au Royaume-Uni </w:t>
      </w:r>
      <w:r w:rsidRPr="00DC0F64">
        <w:rPr>
          <w:rFonts w:ascii="Arial" w:hAnsi="Arial" w:cs="Arial"/>
          <w:sz w:val="20"/>
          <w:szCs w:val="20"/>
          <w:lang w:val="fr-FR"/>
        </w:rPr>
        <w:t>proposent une assistance complète pour toutes les questions relatives aux applications ou au développement d’opérations reproductibles de préparation des échantillons.</w:t>
      </w:r>
      <w:r w:rsidRPr="00DC0F64">
        <w:rPr>
          <w:rFonts w:ascii="Arial" w:hAnsi="Arial" w:cs="Arial"/>
          <w:sz w:val="20"/>
          <w:szCs w:val="20"/>
          <w:lang w:val="fr-FR"/>
        </w:rPr>
        <w:br/>
        <w:t xml:space="preserve">Buehler fait partie du pôle Essais et Mesures de l’entreprise </w:t>
      </w:r>
      <w:r w:rsidRPr="00DC0F64">
        <w:rPr>
          <w:lang w:val="fr-FR"/>
        </w:rPr>
        <w:t xml:space="preserve">Illinois </w:t>
      </w:r>
      <w:proofErr w:type="spellStart"/>
      <w:r w:rsidRPr="00DC0F64">
        <w:rPr>
          <w:lang w:val="fr-FR"/>
        </w:rPr>
        <w:t>Tool</w:t>
      </w:r>
      <w:proofErr w:type="spellEnd"/>
      <w:r w:rsidRPr="00DC0F64">
        <w:rPr>
          <w:lang w:val="fr-FR"/>
        </w:rPr>
        <w:t xml:space="preserve"> Works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(ITW) aux États-Unis, qui compte plus de 800 divisions décentralisées dans 52 pays et emploie quelque 45 000 personnes.</w:t>
      </w:r>
    </w:p>
    <w:p w:rsidR="00AC5AE1" w:rsidRPr="00DC0F64" w:rsidRDefault="00AC5AE1" w:rsidP="00AC5AE1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sz w:val="20"/>
          <w:szCs w:val="20"/>
          <w:lang w:val="fr-FR"/>
        </w:rPr>
        <w:t>Pour en savoir plus sur l’offre de produits et de services de Buehler ITW Test &amp; Measurement, veuillez consulter le site https://www.buehler.fr.</w:t>
      </w:r>
    </w:p>
    <w:p w:rsidR="00AC5AE1" w:rsidRPr="00DC0F64" w:rsidRDefault="00AC5AE1" w:rsidP="00AC5AE1">
      <w:pPr>
        <w:spacing w:before="240"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fr-FR"/>
        </w:rPr>
      </w:pPr>
      <w:r w:rsidRPr="00DC0F64">
        <w:rPr>
          <w:rFonts w:ascii="Arial" w:eastAsia="MS Mincho" w:hAnsi="Arial" w:cs="Arial"/>
          <w:b/>
          <w:sz w:val="24"/>
          <w:szCs w:val="24"/>
          <w:u w:val="single"/>
          <w:lang w:val="fr-FR"/>
        </w:rPr>
        <w:t xml:space="preserve">Merci d’envoyer une copie du bon à : </w:t>
      </w:r>
    </w:p>
    <w:p w:rsidR="00AC5AE1" w:rsidRPr="00DC0F64" w:rsidRDefault="00AC5AE1" w:rsidP="00AC5AE1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 xml:space="preserve">Dr.-Ing. Jörg Wolters, Konsens PR GmbH &amp; Co. KG, </w:t>
      </w:r>
    </w:p>
    <w:p w:rsidR="00AC5AE1" w:rsidRPr="00DC0F64" w:rsidRDefault="00AC5AE1" w:rsidP="00AC5AE1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>Im Kühlen Grund 10, D-64823 Groß-Umstadt – www.konsens.de</w:t>
      </w:r>
    </w:p>
    <w:p w:rsidR="00AC5AE1" w:rsidRPr="00DC0F64" w:rsidRDefault="00AC5AE1" w:rsidP="00AC5AE1">
      <w:pPr>
        <w:spacing w:after="240" w:line="240" w:lineRule="auto"/>
        <w:rPr>
          <w:rFonts w:ascii="Arial" w:eastAsia="MS Mincho" w:hAnsi="Arial" w:cs="Arial"/>
          <w:sz w:val="24"/>
          <w:szCs w:val="24"/>
          <w:lang w:val="fr-FR"/>
        </w:rPr>
      </w:pPr>
      <w:r w:rsidRPr="00DC0F64">
        <w:rPr>
          <w:rFonts w:ascii="Arial" w:eastAsia="MS Mincho" w:hAnsi="Arial" w:cs="Arial"/>
          <w:sz w:val="24"/>
          <w:szCs w:val="24"/>
          <w:lang w:val="fr-FR"/>
        </w:rPr>
        <w:t xml:space="preserve">Téléphone : +49 (0) 60 78 / 93 63 - 0, fax : - 20, e-mail : </w:t>
      </w:r>
      <w:hyperlink r:id="rId12" w:history="1">
        <w:r w:rsidRPr="00DC0F64">
          <w:rPr>
            <w:rStyle w:val="Hyperlink"/>
            <w:rFonts w:ascii="Arial" w:eastAsia="MS Mincho" w:hAnsi="Arial" w:cs="Arial"/>
            <w:color w:val="auto"/>
            <w:sz w:val="24"/>
            <w:szCs w:val="24"/>
            <w:lang w:val="fr-FR"/>
          </w:rPr>
          <w:t>mail@konsens.de</w:t>
        </w:r>
      </w:hyperlink>
    </w:p>
    <w:p w:rsidR="00AC5AE1" w:rsidRPr="00DC0F64" w:rsidRDefault="00AC5AE1" w:rsidP="00AC5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Des communiqués de presse de Buehler contenant du texte et des photos dans une résolution imprimable peuvent être téléchargés depuis le site </w:t>
      </w:r>
      <w:hyperlink r:id="rId13" w:history="1">
        <w:r w:rsidRPr="00DC0F64">
          <w:rPr>
            <w:rStyle w:val="Hyperlink"/>
            <w:rFonts w:ascii="Arial" w:hAnsi="Arial" w:cs="Arial"/>
            <w:i/>
            <w:color w:val="auto"/>
            <w:sz w:val="24"/>
            <w:szCs w:val="24"/>
            <w:lang w:val="fr-FR"/>
          </w:rPr>
          <w:t>https://www.konsens.de/buehler</w:t>
        </w:r>
      </w:hyperlink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AC5AE1" w:rsidRPr="008B787C" w:rsidRDefault="00AC5AE1" w:rsidP="008006B9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</w:p>
    <w:sectPr w:rsidR="00AC5AE1" w:rsidRPr="008B787C" w:rsidSect="007E1B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BA" w:rsidRDefault="00343EBA" w:rsidP="00995D5B">
      <w:pPr>
        <w:spacing w:after="0" w:line="240" w:lineRule="auto"/>
      </w:pPr>
      <w:r>
        <w:separator/>
      </w:r>
    </w:p>
  </w:endnote>
  <w:endnote w:type="continuationSeparator" w:id="0">
    <w:p w:rsidR="00343EBA" w:rsidRDefault="00343EBA" w:rsidP="00995D5B">
      <w:pPr>
        <w:spacing w:after="0" w:line="240" w:lineRule="auto"/>
      </w:pPr>
      <w:r>
        <w:continuationSeparator/>
      </w:r>
    </w:p>
  </w:endnote>
  <w:endnote w:type="continuationNotice" w:id="1">
    <w:p w:rsidR="00343EBA" w:rsidRDefault="00343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  <w:t xml:space="preserve"> </w:t>
    </w:r>
    <w:r>
      <w:rPr>
        <w:rFonts w:ascii="Arial" w:hAnsi="Arial" w:cs="Arial"/>
        <w:color w:val="000000"/>
        <w:sz w:val="20"/>
        <w:szCs w:val="20"/>
      </w:rPr>
      <w:t>Page 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PAGE </w:instrText>
    </w:r>
    <w:r>
      <w:fldChar w:fldCharType="separate"/>
    </w:r>
    <w:r w:rsidR="001B4961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NUMPAGES   \* MERGEFORMAT </w:instrText>
    </w:r>
    <w:r>
      <w:fldChar w:fldCharType="separate"/>
    </w:r>
    <w:r w:rsidR="001B4961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 xml:space="preserve">Buehler – ITW Test &amp; Measurement GmbH – </w:t>
    </w:r>
    <w:proofErr w:type="spellStart"/>
    <w:r>
      <w:rPr>
        <w:rFonts w:ascii="Arial" w:hAnsi="Arial" w:cs="Arial"/>
        <w:color w:val="000000"/>
        <w:sz w:val="17"/>
        <w:szCs w:val="17"/>
      </w:rPr>
      <w:t>Meisenweg</w:t>
    </w:r>
    <w:proofErr w:type="spellEnd"/>
    <w:r>
      <w:rPr>
        <w:rFonts w:ascii="Arial" w:hAnsi="Arial" w:cs="Arial"/>
        <w:color w:val="000000"/>
        <w:sz w:val="17"/>
        <w:szCs w:val="17"/>
      </w:rPr>
      <w:t xml:space="preserve"> 35 – D-70771 Leinfelden-Echterdingen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CD4C63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  <w:t xml:space="preserve"> </w:t>
    </w:r>
    <w:r>
      <w:rPr>
        <w:rFonts w:ascii="Arial" w:hAnsi="Arial" w:cs="Arial"/>
        <w:color w:val="000000"/>
        <w:sz w:val="20"/>
        <w:szCs w:val="20"/>
      </w:rPr>
      <w:t>Page 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PAGE </w:instrText>
    </w:r>
    <w:r>
      <w:fldChar w:fldCharType="separate"/>
    </w:r>
    <w:r w:rsidR="001B4961">
      <w:rPr>
        <w:rStyle w:val="Seitenzahl"/>
        <w:rFonts w:ascii="Arial" w:hAnsi="Arial" w:cs="Arial"/>
        <w:noProof/>
        <w:sz w:val="20"/>
        <w:szCs w:val="20"/>
      </w:rPr>
      <w:t>1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NUMPAGES   \* MERGEFORMAT </w:instrText>
    </w:r>
    <w:r>
      <w:fldChar w:fldCharType="separate"/>
    </w:r>
    <w:r w:rsidR="001B4961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293088" w:rsidRDefault="003A4630" w:rsidP="003A4630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 xml:space="preserve">Buehler – ITW Test &amp; Measurement GmbH – </w:t>
    </w:r>
    <w:proofErr w:type="spellStart"/>
    <w:r>
      <w:rPr>
        <w:rFonts w:ascii="Arial" w:hAnsi="Arial" w:cs="Arial"/>
        <w:color w:val="000000"/>
        <w:sz w:val="17"/>
        <w:szCs w:val="17"/>
      </w:rPr>
      <w:t>Meisenweg</w:t>
    </w:r>
    <w:proofErr w:type="spellEnd"/>
    <w:r>
      <w:rPr>
        <w:rFonts w:ascii="Arial" w:hAnsi="Arial" w:cs="Arial"/>
        <w:color w:val="000000"/>
        <w:sz w:val="17"/>
        <w:szCs w:val="17"/>
      </w:rPr>
      <w:t xml:space="preserve"> 35 – D-70771 Leinfelden-Echterdingen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BA" w:rsidRDefault="00343EBA" w:rsidP="00995D5B">
      <w:pPr>
        <w:spacing w:after="0" w:line="240" w:lineRule="auto"/>
      </w:pPr>
      <w:r>
        <w:separator/>
      </w:r>
    </w:p>
  </w:footnote>
  <w:footnote w:type="continuationSeparator" w:id="0">
    <w:p w:rsidR="00343EBA" w:rsidRDefault="00343EBA" w:rsidP="00995D5B">
      <w:pPr>
        <w:spacing w:after="0" w:line="240" w:lineRule="auto"/>
      </w:pPr>
      <w:r>
        <w:continuationSeparator/>
      </w:r>
    </w:p>
  </w:footnote>
  <w:footnote w:type="continuationNotice" w:id="1">
    <w:p w:rsidR="00343EBA" w:rsidRDefault="00343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B66A72" w:rsidP="00D62807">
    <w:pPr>
      <w:pStyle w:val="Kopfzeile"/>
      <w:jc w:val="right"/>
    </w:pPr>
    <w:r>
      <w:rPr>
        <w:noProof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1"/>
      <w:gridCol w:w="4626"/>
    </w:tblGrid>
    <w:tr w:rsidR="00D62807" w:rsidRPr="001B4961" w:rsidTr="003A4630">
      <w:trPr>
        <w:trHeight w:val="2697"/>
      </w:trPr>
      <w:tc>
        <w:tcPr>
          <w:tcW w:w="4361" w:type="dxa"/>
          <w:shd w:val="clear" w:color="auto" w:fill="auto"/>
        </w:tcPr>
        <w:p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B04619" w:rsidRDefault="00B66A72" w:rsidP="003A4630">
          <w:pPr>
            <w:tabs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05438515" wp14:editId="0A552D68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4619" w:rsidRPr="00C07FEA" w:rsidRDefault="00B04619" w:rsidP="003A4630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B04619" w:rsidRPr="008B787C" w:rsidRDefault="00B04619" w:rsidP="003A4630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nl-NL"/>
            </w:rPr>
          </w:pPr>
          <w:r w:rsidRPr="008B787C">
            <w:rPr>
              <w:rFonts w:ascii="Arial" w:hAnsi="Arial" w:cs="Arial"/>
              <w:bCs/>
              <w:sz w:val="20"/>
              <w:szCs w:val="20"/>
              <w:lang w:val="nl-NL"/>
            </w:rPr>
            <w:t>ITW Test &amp; Measurement GmbH</w:t>
          </w:r>
        </w:p>
        <w:p w:rsidR="00B04619" w:rsidRPr="008B787C" w:rsidRDefault="003A4630" w:rsidP="003A4630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nl-NL"/>
            </w:rPr>
          </w:pPr>
          <w:r w:rsidRPr="008B787C">
            <w:rPr>
              <w:rFonts w:ascii="Arial" w:hAnsi="Arial" w:cs="Arial"/>
              <w:bCs/>
              <w:sz w:val="20"/>
              <w:szCs w:val="20"/>
              <w:lang w:val="nl-NL"/>
            </w:rPr>
            <w:t>Meisenweg 35, D-70771 Leinfelden-Echterdingen</w:t>
          </w:r>
        </w:p>
        <w:p w:rsidR="00B04619" w:rsidRPr="008B787C" w:rsidRDefault="00B04619" w:rsidP="003A4630">
          <w:pPr>
            <w:tabs>
              <w:tab w:val="left" w:pos="4711"/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lang w:val="nl-NL"/>
            </w:rPr>
          </w:pPr>
          <w:r w:rsidRPr="008B787C">
            <w:rPr>
              <w:rFonts w:ascii="Arial" w:hAnsi="Arial" w:cs="Arial"/>
              <w:b/>
              <w:bCs/>
              <w:lang w:val="nl-NL"/>
            </w:rPr>
            <w:t xml:space="preserve">Contact : </w:t>
          </w:r>
        </w:p>
        <w:p w:rsidR="00B04619" w:rsidRPr="00DF7199" w:rsidRDefault="001B4961" w:rsidP="003A4630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fr-FR"/>
            </w:rPr>
          </w:pPr>
          <w:hyperlink r:id="rId2" w:history="1">
            <w:r w:rsidR="001A5311" w:rsidRPr="00DF7199">
              <w:rPr>
                <w:rFonts w:ascii="Arial" w:hAnsi="Arial" w:cs="Arial"/>
                <w:bCs/>
                <w:sz w:val="20"/>
                <w:szCs w:val="20"/>
                <w:lang w:val="fr-FR"/>
              </w:rPr>
              <w:t>marketing@buehler.com</w:t>
            </w:r>
          </w:hyperlink>
          <w:r w:rsidR="001A5311" w:rsidRPr="00DF7199">
            <w:rPr>
              <w:rFonts w:ascii="Arial" w:hAnsi="Arial" w:cs="Arial"/>
              <w:bCs/>
              <w:sz w:val="20"/>
              <w:szCs w:val="20"/>
              <w:lang w:val="fr-FR"/>
            </w:rPr>
            <w:t> </w:t>
          </w:r>
          <w:r w:rsidR="001A5311" w:rsidRPr="00DF7199">
            <w:rPr>
              <w:rFonts w:ascii="Arial" w:hAnsi="Arial" w:cs="Arial"/>
              <w:bCs/>
              <w:sz w:val="20"/>
              <w:szCs w:val="20"/>
              <w:lang w:val="fr-FR"/>
            </w:rPr>
            <w:br/>
            <w:t xml:space="preserve">Tél.: +49 (0) 711-490 4690-0 </w:t>
          </w:r>
        </w:p>
      </w:tc>
    </w:tr>
  </w:tbl>
  <w:p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color w:val="5F5F5F"/>
        <w:sz w:val="28"/>
        <w:szCs w:val="28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6415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A6061"/>
    <w:rsid w:val="000B34B9"/>
    <w:rsid w:val="000B385F"/>
    <w:rsid w:val="000B7FCC"/>
    <w:rsid w:val="000D6346"/>
    <w:rsid w:val="000D69F9"/>
    <w:rsid w:val="000E1AAE"/>
    <w:rsid w:val="000E5442"/>
    <w:rsid w:val="000E563D"/>
    <w:rsid w:val="000E6933"/>
    <w:rsid w:val="000F266E"/>
    <w:rsid w:val="000F426F"/>
    <w:rsid w:val="000F4CCA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55FAA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311"/>
    <w:rsid w:val="001A58A4"/>
    <w:rsid w:val="001B0C85"/>
    <w:rsid w:val="001B4961"/>
    <w:rsid w:val="001B5DA5"/>
    <w:rsid w:val="001B65E5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394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29C7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78E"/>
    <w:rsid w:val="00324D8F"/>
    <w:rsid w:val="00325F53"/>
    <w:rsid w:val="00326A74"/>
    <w:rsid w:val="00327F7C"/>
    <w:rsid w:val="00332E2C"/>
    <w:rsid w:val="003356FA"/>
    <w:rsid w:val="00343EBA"/>
    <w:rsid w:val="0034626F"/>
    <w:rsid w:val="003521D0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848C0"/>
    <w:rsid w:val="00390E52"/>
    <w:rsid w:val="003923F3"/>
    <w:rsid w:val="003A051B"/>
    <w:rsid w:val="003A12E3"/>
    <w:rsid w:val="003A4630"/>
    <w:rsid w:val="003A796F"/>
    <w:rsid w:val="003A7E64"/>
    <w:rsid w:val="003B10E7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46012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B39F4"/>
    <w:rsid w:val="005C43C7"/>
    <w:rsid w:val="005C4EFB"/>
    <w:rsid w:val="005D39D3"/>
    <w:rsid w:val="005D3A0A"/>
    <w:rsid w:val="005D5DCF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02429"/>
    <w:rsid w:val="00613D4B"/>
    <w:rsid w:val="0062357C"/>
    <w:rsid w:val="00625EA7"/>
    <w:rsid w:val="006307B4"/>
    <w:rsid w:val="00631273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087C"/>
    <w:rsid w:val="00731C5C"/>
    <w:rsid w:val="0073458F"/>
    <w:rsid w:val="00734A2D"/>
    <w:rsid w:val="00735827"/>
    <w:rsid w:val="007366E9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7F2711"/>
    <w:rsid w:val="008006B9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2A14"/>
    <w:rsid w:val="00884CFB"/>
    <w:rsid w:val="00884F52"/>
    <w:rsid w:val="00897491"/>
    <w:rsid w:val="008A1598"/>
    <w:rsid w:val="008A4C5C"/>
    <w:rsid w:val="008A514F"/>
    <w:rsid w:val="008B45A6"/>
    <w:rsid w:val="008B787C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31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40BE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2D71"/>
    <w:rsid w:val="009B5736"/>
    <w:rsid w:val="009B756D"/>
    <w:rsid w:val="009C0541"/>
    <w:rsid w:val="009C35B8"/>
    <w:rsid w:val="009C4127"/>
    <w:rsid w:val="009C52FA"/>
    <w:rsid w:val="009C77F2"/>
    <w:rsid w:val="009D0D1C"/>
    <w:rsid w:val="009D1535"/>
    <w:rsid w:val="009D30F0"/>
    <w:rsid w:val="009D32C0"/>
    <w:rsid w:val="009E0D28"/>
    <w:rsid w:val="009E303B"/>
    <w:rsid w:val="009E5072"/>
    <w:rsid w:val="009F102A"/>
    <w:rsid w:val="009F1C8E"/>
    <w:rsid w:val="009F2241"/>
    <w:rsid w:val="009F6AD7"/>
    <w:rsid w:val="009F70BC"/>
    <w:rsid w:val="00A01E8B"/>
    <w:rsid w:val="00A047A0"/>
    <w:rsid w:val="00A0752B"/>
    <w:rsid w:val="00A11245"/>
    <w:rsid w:val="00A16454"/>
    <w:rsid w:val="00A20DEC"/>
    <w:rsid w:val="00A27A7E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97974"/>
    <w:rsid w:val="00AA0DEF"/>
    <w:rsid w:val="00AA48F4"/>
    <w:rsid w:val="00AA49CA"/>
    <w:rsid w:val="00AA6890"/>
    <w:rsid w:val="00AA7091"/>
    <w:rsid w:val="00AB4736"/>
    <w:rsid w:val="00AB5AA9"/>
    <w:rsid w:val="00AB71EC"/>
    <w:rsid w:val="00AC5AE1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17FDD"/>
    <w:rsid w:val="00B208BB"/>
    <w:rsid w:val="00B275B6"/>
    <w:rsid w:val="00B32755"/>
    <w:rsid w:val="00B34966"/>
    <w:rsid w:val="00B37B33"/>
    <w:rsid w:val="00B419A9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84524"/>
    <w:rsid w:val="00B86F09"/>
    <w:rsid w:val="00B9060F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3815"/>
    <w:rsid w:val="00BD5E19"/>
    <w:rsid w:val="00BD79B5"/>
    <w:rsid w:val="00BE095F"/>
    <w:rsid w:val="00BE328B"/>
    <w:rsid w:val="00BE5715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76938"/>
    <w:rsid w:val="00C82547"/>
    <w:rsid w:val="00C83D90"/>
    <w:rsid w:val="00C939D3"/>
    <w:rsid w:val="00C944BF"/>
    <w:rsid w:val="00C967B4"/>
    <w:rsid w:val="00CA4F12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FEF"/>
    <w:rsid w:val="00CF4A91"/>
    <w:rsid w:val="00CF7AAD"/>
    <w:rsid w:val="00D0313F"/>
    <w:rsid w:val="00D06A06"/>
    <w:rsid w:val="00D12911"/>
    <w:rsid w:val="00D12E16"/>
    <w:rsid w:val="00D1782E"/>
    <w:rsid w:val="00D43F45"/>
    <w:rsid w:val="00D444C7"/>
    <w:rsid w:val="00D467C1"/>
    <w:rsid w:val="00D57D6D"/>
    <w:rsid w:val="00D6073E"/>
    <w:rsid w:val="00D623AB"/>
    <w:rsid w:val="00D62807"/>
    <w:rsid w:val="00D67BC3"/>
    <w:rsid w:val="00D703ED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B7D99"/>
    <w:rsid w:val="00DC0354"/>
    <w:rsid w:val="00DC21F1"/>
    <w:rsid w:val="00DC4275"/>
    <w:rsid w:val="00DC7E70"/>
    <w:rsid w:val="00DD1EEE"/>
    <w:rsid w:val="00DD4C88"/>
    <w:rsid w:val="00DE04BF"/>
    <w:rsid w:val="00DE27EC"/>
    <w:rsid w:val="00DF103F"/>
    <w:rsid w:val="00DF37AE"/>
    <w:rsid w:val="00DF4BAF"/>
    <w:rsid w:val="00DF7199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B8F"/>
    <w:rsid w:val="00E45D3D"/>
    <w:rsid w:val="00E52A3B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2983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nsens.de/buehl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d772b0f5-4294-4f48-9f94-17502b4f68a5@namprd04.prod.outl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lghem-K&#246;hn\AppData\Local\Temp\Across\3d3a5d09-7099-4d3d-a669-b3b835aac000\mailto&#160;:marketing@buehler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47AC-BD7B-4241-8FAB-EFFD9FB3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3485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3</cp:revision>
  <cp:lastPrinted>2021-11-23T17:46:00Z</cp:lastPrinted>
  <dcterms:created xsi:type="dcterms:W3CDTF">2021-11-26T14:56:00Z</dcterms:created>
  <dcterms:modified xsi:type="dcterms:W3CDTF">2021-12-02T16:22:00Z</dcterms:modified>
</cp:coreProperties>
</file>