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4C" w:rsidRPr="000B5C62" w:rsidRDefault="00A2566A" w:rsidP="00BC6E82">
      <w:pPr>
        <w:spacing w:before="240"/>
        <w:rPr>
          <w:b/>
          <w:sz w:val="28"/>
          <w:szCs w:val="28"/>
          <w:u w:val="single"/>
        </w:rPr>
      </w:pPr>
      <w:r w:rsidRPr="000B5C62">
        <w:rPr>
          <w:rFonts w:ascii="Arial" w:hAnsi="Arial"/>
          <w:b/>
          <w:caps/>
          <w:sz w:val="36"/>
        </w:rPr>
        <w:t>Comunicado de prensa</w:t>
      </w:r>
    </w:p>
    <w:p w:rsidR="00012458" w:rsidRPr="000B5C62" w:rsidRDefault="00012458" w:rsidP="0066288D">
      <w:pPr>
        <w:rPr>
          <w:b/>
          <w:sz w:val="32"/>
        </w:rPr>
      </w:pPr>
    </w:p>
    <w:p w:rsidR="00562B49" w:rsidRPr="000B5C62" w:rsidRDefault="009E4815" w:rsidP="0066288D">
      <w:pPr>
        <w:rPr>
          <w:b/>
          <w:sz w:val="32"/>
        </w:rPr>
      </w:pPr>
      <w:r w:rsidRPr="000B5C62">
        <w:rPr>
          <w:b/>
          <w:sz w:val="32"/>
        </w:rPr>
        <w:t>Nuevo masterbatch antiestático</w:t>
      </w:r>
      <w:r w:rsidR="00DE1CB0" w:rsidRPr="000B5C62">
        <w:rPr>
          <w:b/>
          <w:sz w:val="32"/>
        </w:rPr>
        <w:t xml:space="preserve"> para aplicaciones de PP que proporciona una excelente eficiencia hasta en condiciones de muy baja humedad atmosférica </w:t>
      </w:r>
    </w:p>
    <w:p w:rsidR="0066288D" w:rsidRPr="000B5C62" w:rsidRDefault="0066288D" w:rsidP="0066288D"/>
    <w:p w:rsidR="00225C54" w:rsidRPr="000B5C62" w:rsidRDefault="00326F9D" w:rsidP="0066288D">
      <w:pPr>
        <w:rPr>
          <w:noProof/>
        </w:rPr>
      </w:pPr>
      <w:r w:rsidRPr="000B5C62">
        <w:rPr>
          <w:noProof/>
          <w:lang w:val="de-DE" w:eastAsia="de-DE" w:bidi="ar-SA"/>
        </w:rPr>
        <w:drawing>
          <wp:inline distT="0" distB="0" distL="0" distR="0" wp14:anchorId="2AB7B715" wp14:editId="64F75FF1">
            <wp:extent cx="5427302" cy="4243589"/>
            <wp:effectExtent l="0" t="0" r="254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72 Chart_S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343" cy="424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AF" w:rsidRPr="000B5C62" w:rsidRDefault="00800D1E" w:rsidP="00F47F2A">
      <w:pPr>
        <w:spacing w:before="120"/>
        <w:rPr>
          <w:i/>
          <w:iCs/>
        </w:rPr>
      </w:pPr>
      <w:r w:rsidRPr="000B5C62">
        <w:rPr>
          <w:i/>
        </w:rPr>
        <w:t>En aire muy seco, el nuevo masterbatch ST7505HP de Tosaf, incluso en el caso de contenidos mínim</w:t>
      </w:r>
      <w:r w:rsidR="00326ED5" w:rsidRPr="000B5C62">
        <w:rPr>
          <w:i/>
        </w:rPr>
        <w:t>os del 5 % y menos, muestra un excelente</w:t>
      </w:r>
      <w:r w:rsidRPr="000B5C62">
        <w:rPr>
          <w:i/>
        </w:rPr>
        <w:t xml:space="preserve"> efecto antiestátic</w:t>
      </w:r>
      <w:r w:rsidR="0084345A" w:rsidRPr="000B5C62">
        <w:rPr>
          <w:i/>
        </w:rPr>
        <w:t>o* (tiempo de descarga &lt; 1 s) y</w:t>
      </w:r>
      <w:r w:rsidRPr="000B5C62">
        <w:rPr>
          <w:i/>
        </w:rPr>
        <w:t xml:space="preserve"> además, también después de 3 meses </w:t>
      </w:r>
      <w:r w:rsidR="0084345A" w:rsidRPr="000B5C62">
        <w:rPr>
          <w:i/>
        </w:rPr>
        <w:t>los valores siguen siendo buenos.</w:t>
      </w:r>
    </w:p>
    <w:p w:rsidR="00800D1E" w:rsidRPr="000B5C62" w:rsidRDefault="00800D1E" w:rsidP="00800D1E">
      <w:pPr>
        <w:spacing w:after="240"/>
        <w:rPr>
          <w:i/>
          <w:sz w:val="20"/>
          <w:szCs w:val="20"/>
        </w:rPr>
      </w:pPr>
      <w:r w:rsidRPr="000B5C62">
        <w:rPr>
          <w:i/>
          <w:sz w:val="20"/>
        </w:rPr>
        <w:t>*Static Decay Meter según NFPA 99 – Desconexión al 10%, 90% de disipación de la carga de 5 a 0,5 kV.</w:t>
      </w:r>
    </w:p>
    <w:p w:rsidR="002E259B" w:rsidRPr="000B5C62" w:rsidRDefault="0084345A" w:rsidP="00F47F2A">
      <w:pPr>
        <w:spacing w:before="120" w:after="120" w:line="360" w:lineRule="exact"/>
        <w:ind w:right="90"/>
      </w:pPr>
      <w:r w:rsidRPr="000B5C62">
        <w:t xml:space="preserve">Afula/Israel, </w:t>
      </w:r>
      <w:r w:rsidR="00AD40B6">
        <w:t>D</w:t>
      </w:r>
      <w:r w:rsidR="00AD40B6" w:rsidRPr="00AD40B6">
        <w:t xml:space="preserve">iciembre </w:t>
      </w:r>
      <w:r w:rsidR="008A6044" w:rsidRPr="000B5C62">
        <w:t>de 2015 –– ST7505HP es un masterbatch antiestático de nuevo desarrollo de Tosaf (</w:t>
      </w:r>
      <w:hyperlink r:id="rId10">
        <w:r w:rsidR="008A6044" w:rsidRPr="000B5C62">
          <w:rPr>
            <w:rStyle w:val="Hyperlink"/>
            <w:color w:val="auto"/>
          </w:rPr>
          <w:t>www.tosaf.com</w:t>
        </w:r>
      </w:hyperlink>
      <w:r w:rsidR="008A6044" w:rsidRPr="000B5C62">
        <w:t>), perfec</w:t>
      </w:r>
      <w:bookmarkStart w:id="0" w:name="_GoBack"/>
      <w:bookmarkEnd w:id="0"/>
      <w:r w:rsidR="008A6044" w:rsidRPr="000B5C62">
        <w:t xml:space="preserve">cionado para polipropileno (PP), el cual conserva </w:t>
      </w:r>
      <w:r w:rsidRPr="000B5C62">
        <w:t>un</w:t>
      </w:r>
      <w:r w:rsidR="008A6044" w:rsidRPr="000B5C62">
        <w:t xml:space="preserve"> alto nivel de eficacia </w:t>
      </w:r>
      <w:r w:rsidR="00BE0290" w:rsidRPr="000B5C62">
        <w:t>aú</w:t>
      </w:r>
      <w:r w:rsidR="00DE1CB0" w:rsidRPr="000B5C62">
        <w:t>n</w:t>
      </w:r>
      <w:r w:rsidR="008A6044" w:rsidRPr="000B5C62">
        <w:t xml:space="preserve"> a muy baja humedad del aire. Ya con </w:t>
      </w:r>
      <w:r w:rsidR="00BE0290" w:rsidRPr="000B5C62">
        <w:t xml:space="preserve">dosificaciones tan sólo del </w:t>
      </w:r>
      <w:r w:rsidR="008A6044" w:rsidRPr="000B5C62">
        <w:t>1 % al 5 % en la extrusión</w:t>
      </w:r>
      <w:r w:rsidRPr="000B5C62">
        <w:t>,</w:t>
      </w:r>
      <w:r w:rsidR="008A6044" w:rsidRPr="000B5C62">
        <w:t xml:space="preserve"> y </w:t>
      </w:r>
      <w:r w:rsidR="00BE0290" w:rsidRPr="000B5C62">
        <w:t>del</w:t>
      </w:r>
      <w:r w:rsidR="008A6044" w:rsidRPr="000B5C62">
        <w:t xml:space="preserve"> 3 </w:t>
      </w:r>
      <w:r w:rsidRPr="000B5C62">
        <w:t>% al 5 % en el caso del moldeo</w:t>
      </w:r>
      <w:r w:rsidR="008A6044" w:rsidRPr="000B5C62">
        <w:t xml:space="preserve"> por inyección se obtiene una reducción </w:t>
      </w:r>
      <w:r w:rsidR="00BE0290" w:rsidRPr="000B5C62">
        <w:t>significativa</w:t>
      </w:r>
      <w:r w:rsidR="008A6044" w:rsidRPr="000B5C62">
        <w:t xml:space="preserve"> de la alta resistividad eléctrica superficial</w:t>
      </w:r>
      <w:r w:rsidR="00BE0290" w:rsidRPr="000B5C62">
        <w:t>,</w:t>
      </w:r>
      <w:r w:rsidR="008A6044" w:rsidRPr="000B5C62">
        <w:t xml:space="preserve"> típica de los productos de PP. De este modo, </w:t>
      </w:r>
      <w:r w:rsidR="00BE0290" w:rsidRPr="000B5C62">
        <w:t xml:space="preserve">las </w:t>
      </w:r>
      <w:r w:rsidR="008A6044" w:rsidRPr="000B5C62">
        <w:t>cargas eléctricas se pueden disipar de piezas moldeadas, cuerpos huecos o láminas en períodos de tiempo muy breves</w:t>
      </w:r>
      <w:r w:rsidR="00945EF8" w:rsidRPr="000B5C62">
        <w:t>,</w:t>
      </w:r>
      <w:r w:rsidR="008A6044" w:rsidRPr="000B5C62">
        <w:t xml:space="preserve"> </w:t>
      </w:r>
      <w:r w:rsidR="00BE0290" w:rsidRPr="000B5C62">
        <w:t>hasta</w:t>
      </w:r>
      <w:r w:rsidR="008A6044" w:rsidRPr="000B5C62">
        <w:t xml:space="preserve"> en regiones de clima seco o en días </w:t>
      </w:r>
      <w:r w:rsidRPr="000B5C62">
        <w:t xml:space="preserve">secos </w:t>
      </w:r>
      <w:r w:rsidR="008A6044" w:rsidRPr="000B5C62">
        <w:t xml:space="preserve">de invierno. </w:t>
      </w:r>
      <w:r w:rsidR="008A6044" w:rsidRPr="000B5C62">
        <w:lastRenderedPageBreak/>
        <w:t xml:space="preserve">ST7505HP no afecta ni el color ni la transparencia del material y </w:t>
      </w:r>
      <w:r w:rsidR="00BE0290" w:rsidRPr="000B5C62">
        <w:t>cumple</w:t>
      </w:r>
      <w:r w:rsidR="008A6044" w:rsidRPr="000B5C62">
        <w:t xml:space="preserve"> </w:t>
      </w:r>
      <w:r w:rsidR="00BE0290" w:rsidRPr="000B5C62">
        <w:t xml:space="preserve">con </w:t>
      </w:r>
      <w:r w:rsidR="008A6044" w:rsidRPr="000B5C62">
        <w:t xml:space="preserve">las exigencias de la FDA y de la CE relacionadas </w:t>
      </w:r>
      <w:r w:rsidR="00BE0290" w:rsidRPr="000B5C62">
        <w:t>con el</w:t>
      </w:r>
      <w:r w:rsidR="008A6044" w:rsidRPr="000B5C62">
        <w:t xml:space="preserve"> contacto con alimentos. </w:t>
      </w:r>
    </w:p>
    <w:p w:rsidR="00800D1E" w:rsidRPr="000B5C62" w:rsidRDefault="002E259B" w:rsidP="00F47F2A">
      <w:pPr>
        <w:spacing w:before="120" w:after="120" w:line="360" w:lineRule="exact"/>
        <w:ind w:right="90"/>
      </w:pPr>
      <w:r w:rsidRPr="000B5C62">
        <w:t xml:space="preserve">En pruebas en laboratorio, ST7505HP ha demostrado su </w:t>
      </w:r>
      <w:r w:rsidR="00BE0290" w:rsidRPr="000B5C62">
        <w:t>excelente</w:t>
      </w:r>
      <w:r w:rsidRPr="000B5C62">
        <w:t xml:space="preserve"> efecto antiestático</w:t>
      </w:r>
      <w:r w:rsidR="00BE0290" w:rsidRPr="000B5C62">
        <w:t>, el cual</w:t>
      </w:r>
      <w:r w:rsidRPr="000B5C62">
        <w:t xml:space="preserve"> se mantiene a largo plazo aún en el caso de una HR</w:t>
      </w:r>
      <w:r w:rsidR="0023441D" w:rsidRPr="000B5C62">
        <w:t xml:space="preserve"> (humedad relativa)</w:t>
      </w:r>
      <w:r w:rsidRPr="000B5C62">
        <w:t xml:space="preserve"> de </w:t>
      </w:r>
      <w:r w:rsidR="0023441D" w:rsidRPr="000B5C62">
        <w:t xml:space="preserve">tan </w:t>
      </w:r>
      <w:r w:rsidRPr="000B5C62">
        <w:t xml:space="preserve">sólo el 12 % (véase el gráfico). Por el contrario, los aditivos convencionales de este tipo, como por ejemplo los tensoactivos que atraen el agua, requieren una humedad del aire mucho más alta para </w:t>
      </w:r>
      <w:r w:rsidR="00BE0290" w:rsidRPr="000B5C62">
        <w:t>ser eficaces</w:t>
      </w:r>
      <w:r w:rsidRPr="000B5C62">
        <w:t xml:space="preserve">. De este modo, también después de un prolongado almacenamiento seco o después de condiciones de contacto con fricción con otras superficies, el nuevo aditivo antiestático de Tosaf evita la acumulación de cargas eléctricas en la superficie, las cuales atraen el polvo o </w:t>
      </w:r>
      <w:r w:rsidR="00694D6F" w:rsidRPr="000B5C62">
        <w:t xml:space="preserve">pueden dañar o hasta destruir </w:t>
      </w:r>
      <w:r w:rsidR="00945EF8" w:rsidRPr="000B5C62">
        <w:t>equipos electrónicos</w:t>
      </w:r>
      <w:r w:rsidRPr="000B5C62">
        <w:t xml:space="preserve">. </w:t>
      </w:r>
    </w:p>
    <w:p w:rsidR="00E75641" w:rsidRPr="000B5C62" w:rsidRDefault="002E259B" w:rsidP="00F47F2A">
      <w:pPr>
        <w:spacing w:before="120" w:after="120" w:line="360" w:lineRule="exact"/>
        <w:ind w:right="90"/>
      </w:pPr>
      <w:r w:rsidRPr="000B5C62">
        <w:t xml:space="preserve">ST7505HP es </w:t>
      </w:r>
      <w:r w:rsidR="00B13C3D" w:rsidRPr="000B5C62">
        <w:t>particularmente adecuado</w:t>
      </w:r>
      <w:r w:rsidRPr="000B5C62">
        <w:t xml:space="preserve"> para e</w:t>
      </w:r>
      <w:r w:rsidR="005A0CD6" w:rsidRPr="000B5C62">
        <w:t>nvas</w:t>
      </w:r>
      <w:r w:rsidR="00B13C3D" w:rsidRPr="000B5C62">
        <w:t>es de PP utilizados</w:t>
      </w:r>
      <w:r w:rsidRPr="000B5C62">
        <w:t xml:space="preserve"> en la industria electrónica ya que no tiene ningún efecto corrosivo </w:t>
      </w:r>
      <w:r w:rsidR="00B13C3D" w:rsidRPr="000B5C62">
        <w:t>en el</w:t>
      </w:r>
      <w:r w:rsidRPr="000B5C62">
        <w:t xml:space="preserve"> polic</w:t>
      </w:r>
      <w:r w:rsidR="00B13C3D" w:rsidRPr="000B5C62">
        <w:t>arbonato (PC)</w:t>
      </w:r>
      <w:r w:rsidRPr="000B5C62">
        <w:t xml:space="preserve">, </w:t>
      </w:r>
      <w:r w:rsidR="00B13C3D" w:rsidRPr="000B5C62">
        <w:t xml:space="preserve">el cual se usa frecuentemente en este sector, </w:t>
      </w:r>
      <w:r w:rsidRPr="000B5C62">
        <w:t>de este modo</w:t>
      </w:r>
      <w:r w:rsidR="00B13C3D" w:rsidRPr="000B5C62">
        <w:t xml:space="preserve"> </w:t>
      </w:r>
      <w:r w:rsidRPr="000B5C62">
        <w:t xml:space="preserve">no causa grietas de tensión en las </w:t>
      </w:r>
      <w:r w:rsidR="00B13C3D" w:rsidRPr="000B5C62">
        <w:t>planchas</w:t>
      </w:r>
      <w:r w:rsidRPr="000B5C62">
        <w:t xml:space="preserve"> de </w:t>
      </w:r>
      <w:r w:rsidR="00326F9D" w:rsidRPr="000B5C62">
        <w:t>PC</w:t>
      </w:r>
      <w:r w:rsidRPr="000B5C62">
        <w:t xml:space="preserve">. Particularmente en la industria de transformación de láminas, ST7505HP </w:t>
      </w:r>
      <w:r w:rsidR="00B13C3D" w:rsidRPr="000B5C62">
        <w:t>permite</w:t>
      </w:r>
      <w:r w:rsidRPr="000B5C62">
        <w:t xml:space="preserve"> velocidades de producción más altas ya que las láminas se dejan separar más fácilmente.</w:t>
      </w:r>
    </w:p>
    <w:p w:rsidR="002125BC" w:rsidRPr="000B5C62" w:rsidRDefault="002E259B" w:rsidP="00F47F2A">
      <w:pPr>
        <w:spacing w:before="120" w:after="120" w:line="360" w:lineRule="exact"/>
        <w:ind w:right="90"/>
      </w:pPr>
      <w:r w:rsidRPr="000B5C62">
        <w:t xml:space="preserve">Irina Shtein Rozenman del Departamento </w:t>
      </w:r>
      <w:r w:rsidR="00B13C3D" w:rsidRPr="000B5C62">
        <w:t>de I+D</w:t>
      </w:r>
      <w:r w:rsidRPr="000B5C62">
        <w:t xml:space="preserve"> </w:t>
      </w:r>
      <w:r w:rsidR="00B13C3D" w:rsidRPr="000B5C62">
        <w:t xml:space="preserve">de Aditivos </w:t>
      </w:r>
      <w:r w:rsidRPr="000B5C62">
        <w:t xml:space="preserve">de Tosaf </w:t>
      </w:r>
      <w:r w:rsidR="00B13C3D" w:rsidRPr="000B5C62">
        <w:t xml:space="preserve">comenta </w:t>
      </w:r>
      <w:r w:rsidR="00694D6F" w:rsidRPr="000B5C62">
        <w:t>al respecto: «A</w:t>
      </w:r>
      <w:r w:rsidRPr="000B5C62">
        <w:t xml:space="preserve">nteriormente </w:t>
      </w:r>
      <w:r w:rsidR="00694D6F" w:rsidRPr="000B5C62">
        <w:t xml:space="preserve">ya </w:t>
      </w:r>
      <w:r w:rsidRPr="000B5C62">
        <w:t xml:space="preserve">habíamos desarrollado productos para polietileno, los cuales también conservan su efecto a una humedad muy baja. Con </w:t>
      </w:r>
      <w:r w:rsidR="00B13C3D" w:rsidRPr="000B5C62">
        <w:t xml:space="preserve">el ST7505HP </w:t>
      </w:r>
      <w:r w:rsidRPr="000B5C62">
        <w:t xml:space="preserve">ahora </w:t>
      </w:r>
      <w:r w:rsidR="00B13C3D" w:rsidRPr="000B5C62">
        <w:t>podemos satisfacer</w:t>
      </w:r>
      <w:r w:rsidRPr="000B5C62">
        <w:t xml:space="preserve"> esta </w:t>
      </w:r>
      <w:r w:rsidR="00B13C3D" w:rsidRPr="000B5C62">
        <w:t>necesidad</w:t>
      </w:r>
      <w:r w:rsidRPr="000B5C62">
        <w:t xml:space="preserve"> para </w:t>
      </w:r>
      <w:r w:rsidR="00B13C3D" w:rsidRPr="000B5C62">
        <w:t xml:space="preserve">toda la gama de </w:t>
      </w:r>
      <w:r w:rsidRPr="000B5C62">
        <w:t>poliolefinas y su aplicación como materiales de envasado, por ejemplo para productos alimenticios, de cuidado personal, eléctricos y electrónicos.»</w:t>
      </w:r>
    </w:p>
    <w:p w:rsidR="00C30CD6" w:rsidRPr="000B5C62" w:rsidRDefault="00C30CD6" w:rsidP="00F47F2A">
      <w:pPr>
        <w:spacing w:before="240"/>
        <w:rPr>
          <w:sz w:val="20"/>
          <w:szCs w:val="20"/>
        </w:rPr>
      </w:pPr>
      <w:r w:rsidRPr="000B5C62">
        <w:rPr>
          <w:sz w:val="20"/>
        </w:rPr>
        <w:t xml:space="preserve">El </w:t>
      </w:r>
      <w:r w:rsidRPr="000B5C62">
        <w:rPr>
          <w:b/>
          <w:sz w:val="20"/>
        </w:rPr>
        <w:t>Grupo Tosaf</w:t>
      </w:r>
      <w:r w:rsidRPr="000B5C62">
        <w:rPr>
          <w:sz w:val="20"/>
        </w:rPr>
        <w:t xml:space="preserve"> es una empresa de </w:t>
      </w:r>
      <w:r w:rsidR="00C714B4" w:rsidRPr="000B5C62">
        <w:rPr>
          <w:sz w:val="20"/>
        </w:rPr>
        <w:t xml:space="preserve">participación conjunta entre el Holding Megides y </w:t>
      </w:r>
      <w:r w:rsidRPr="000B5C62">
        <w:rPr>
          <w:sz w:val="20"/>
        </w:rPr>
        <w:t xml:space="preserve">el Grupo Ravago fundada en 1985. El Grupo da empleo a un total de 900 personas en diez </w:t>
      </w:r>
      <w:r w:rsidR="00C714B4" w:rsidRPr="000B5C62">
        <w:rPr>
          <w:sz w:val="20"/>
        </w:rPr>
        <w:t>fábricas</w:t>
      </w:r>
      <w:r w:rsidRPr="000B5C62">
        <w:rPr>
          <w:sz w:val="20"/>
        </w:rPr>
        <w:t xml:space="preserve"> de producción en Turquía, Alemania, Gran Bretaña, Países Bajos y China. La </w:t>
      </w:r>
      <w:r w:rsidR="00C714B4" w:rsidRPr="000B5C62">
        <w:rPr>
          <w:sz w:val="20"/>
        </w:rPr>
        <w:t>amplia</w:t>
      </w:r>
      <w:r w:rsidRPr="000B5C62">
        <w:rPr>
          <w:sz w:val="20"/>
        </w:rPr>
        <w:t xml:space="preserve"> gama de productos de Tosaf abarca compuestos con aditivos minerales para la industria de </w:t>
      </w:r>
      <w:r w:rsidR="00C714B4" w:rsidRPr="000B5C62">
        <w:rPr>
          <w:sz w:val="20"/>
        </w:rPr>
        <w:t>electrodomésticos</w:t>
      </w:r>
      <w:r w:rsidRPr="000B5C62">
        <w:rPr>
          <w:sz w:val="20"/>
        </w:rPr>
        <w:t xml:space="preserve">, la industria automovilística y otras industrias procesadoras de plásticos, aditivos como estabilizadores de UV y de luz, retardantes de llama y aditivos </w:t>
      </w:r>
      <w:r w:rsidR="00C714B4" w:rsidRPr="000B5C62">
        <w:rPr>
          <w:sz w:val="20"/>
        </w:rPr>
        <w:t>a medida</w:t>
      </w:r>
      <w:r w:rsidRPr="000B5C62">
        <w:rPr>
          <w:sz w:val="20"/>
        </w:rPr>
        <w:t xml:space="preserve"> </w:t>
      </w:r>
      <w:r w:rsidR="00C714B4" w:rsidRPr="000B5C62">
        <w:rPr>
          <w:sz w:val="20"/>
        </w:rPr>
        <w:t>para sectores</w:t>
      </w:r>
      <w:r w:rsidRPr="000B5C62">
        <w:rPr>
          <w:sz w:val="20"/>
        </w:rPr>
        <w:t xml:space="preserve"> como </w:t>
      </w:r>
      <w:r w:rsidR="00C714B4" w:rsidRPr="000B5C62">
        <w:rPr>
          <w:sz w:val="20"/>
        </w:rPr>
        <w:t xml:space="preserve">el </w:t>
      </w:r>
      <w:r w:rsidRPr="000B5C62">
        <w:rPr>
          <w:sz w:val="20"/>
        </w:rPr>
        <w:t xml:space="preserve">BOPP, </w:t>
      </w:r>
      <w:r w:rsidR="00C714B4" w:rsidRPr="000B5C62">
        <w:rPr>
          <w:sz w:val="20"/>
        </w:rPr>
        <w:t>films</w:t>
      </w:r>
      <w:r w:rsidRPr="000B5C62">
        <w:rPr>
          <w:sz w:val="20"/>
        </w:rPr>
        <w:t xml:space="preserve"> agrícolas, de envasado e industriales, planchas de policarbonato, tubos, espumas y otros productos, así como masterbatches de colores para un amplio espectro de aplicaciones.</w:t>
      </w:r>
    </w:p>
    <w:p w:rsidR="009E4815" w:rsidRPr="000B5C62" w:rsidRDefault="00C30CD6" w:rsidP="00F47F2A">
      <w:pPr>
        <w:spacing w:before="120" w:after="120"/>
        <w:ind w:right="-284"/>
        <w:rPr>
          <w:u w:val="single"/>
        </w:rPr>
      </w:pPr>
      <w:r w:rsidRPr="000B5C62">
        <w:rPr>
          <w:b/>
          <w:i/>
        </w:rPr>
        <w:t>Contacto para información más detallada sobre Tosaf:</w:t>
      </w:r>
      <w:r w:rsidRPr="000B5C62">
        <w:br/>
        <w:t>Ms. Michal Apfelbaum</w:t>
      </w:r>
      <w:r w:rsidRPr="000B5C62">
        <w:br/>
        <w:t>International Marketing, Tosaf Compounds Ltd.</w:t>
      </w:r>
      <w:r w:rsidRPr="000B5C62">
        <w:br/>
        <w:t>Teléfono: +972-9-8984606, Fax: +972-9-8789-723</w:t>
      </w:r>
      <w:r w:rsidRPr="000B5C62">
        <w:br/>
        <w:t>Correo electrónico: michalap@tosaf.com</w:t>
      </w:r>
    </w:p>
    <w:p w:rsidR="009E4815" w:rsidRPr="000B5C62" w:rsidRDefault="00C30CD6" w:rsidP="00F47F2A">
      <w:pPr>
        <w:pStyle w:val="AbsatzohneEinrcken"/>
        <w:spacing w:before="120" w:after="120" w:line="240" w:lineRule="auto"/>
        <w:ind w:right="-285"/>
        <w:rPr>
          <w:rFonts w:ascii="Times New Roman" w:hAnsi="Times New Roman"/>
        </w:rPr>
      </w:pPr>
      <w:r w:rsidRPr="000B5C62">
        <w:rPr>
          <w:rFonts w:ascii="Times New Roman" w:hAnsi="Times New Roman"/>
          <w:b/>
          <w:i/>
        </w:rPr>
        <w:t>Contacto con la redacción y dirección para ejemplares justificativos:</w:t>
      </w:r>
      <w:r w:rsidRPr="000B5C62">
        <w:rPr>
          <w:rFonts w:ascii="Times New Roman" w:hAnsi="Times New Roman"/>
        </w:rPr>
        <w:br/>
        <w:t>KONSENS PR GmbH &amp; Co. KG</w:t>
      </w:r>
      <w:r w:rsidRPr="000B5C62">
        <w:rPr>
          <w:rFonts w:ascii="Times New Roman" w:hAnsi="Times New Roman"/>
        </w:rPr>
        <w:br/>
        <w:t>Dr. Jörg Wolters</w:t>
      </w:r>
      <w:r w:rsidRPr="000B5C62">
        <w:rPr>
          <w:rFonts w:ascii="Times New Roman" w:hAnsi="Times New Roman"/>
        </w:rPr>
        <w:br/>
        <w:t xml:space="preserve">Hans-Kudlich-Str. 25, D-64823 Groß-Umstadt, </w:t>
      </w:r>
      <w:r w:rsidRPr="000B5C62">
        <w:rPr>
          <w:rFonts w:ascii="Times New Roman" w:hAnsi="Times New Roman"/>
        </w:rPr>
        <w:br/>
        <w:t>Teléfono: +49 (0) 60 78/93 63-13, Fax: +49 (0) 60 78/93 63-20</w:t>
      </w:r>
      <w:r w:rsidRPr="000B5C62">
        <w:rPr>
          <w:rFonts w:ascii="Times New Roman" w:hAnsi="Times New Roman"/>
        </w:rPr>
        <w:br/>
        <w:t xml:space="preserve">Correo electrónico: </w:t>
      </w:r>
      <w:hyperlink r:id="rId11">
        <w:r w:rsidRPr="000B5C62">
          <w:rPr>
            <w:rStyle w:val="Hyperlink"/>
            <w:rFonts w:ascii="Times New Roman" w:hAnsi="Times New Roman"/>
            <w:color w:val="auto"/>
          </w:rPr>
          <w:t>mail@konsens.de</w:t>
        </w:r>
      </w:hyperlink>
    </w:p>
    <w:p w:rsidR="00DA328A" w:rsidRPr="000B5C62" w:rsidRDefault="00C30CD6" w:rsidP="00C30CD6">
      <w:pPr>
        <w:pStyle w:val="Textkrper"/>
        <w:spacing w:before="120"/>
        <w:ind w:right="-142"/>
        <w:jc w:val="center"/>
        <w:rPr>
          <w:rFonts w:ascii="Arial" w:hAnsi="Arial" w:cs="Arial"/>
          <w:sz w:val="24"/>
          <w:szCs w:val="24"/>
        </w:rPr>
      </w:pPr>
      <w:r w:rsidRPr="000B5C62">
        <w:rPr>
          <w:rFonts w:ascii="Arial" w:hAnsi="Arial"/>
          <w:sz w:val="24"/>
        </w:rPr>
        <w:t>Este texto</w:t>
      </w:r>
      <w:r w:rsidR="005A0CD6" w:rsidRPr="000B5C62">
        <w:rPr>
          <w:rFonts w:ascii="Arial" w:hAnsi="Arial"/>
          <w:sz w:val="24"/>
        </w:rPr>
        <w:t xml:space="preserve"> </w:t>
      </w:r>
      <w:r w:rsidRPr="000B5C62">
        <w:rPr>
          <w:rFonts w:ascii="Arial" w:hAnsi="Arial"/>
          <w:sz w:val="24"/>
        </w:rPr>
        <w:t xml:space="preserve">(.doc) y la imagen (.jpg) están a disposición en </w:t>
      </w:r>
      <w:hyperlink r:id="rId12">
        <w:r w:rsidRPr="000B5C62">
          <w:rPr>
            <w:rStyle w:val="Hyperlink"/>
            <w:rFonts w:ascii="Arial" w:hAnsi="Arial"/>
            <w:b/>
            <w:color w:val="auto"/>
            <w:sz w:val="24"/>
          </w:rPr>
          <w:t>http://www.konsens.de/tosaf.html</w:t>
        </w:r>
      </w:hyperlink>
      <w:r w:rsidRPr="000B5C62">
        <w:rPr>
          <w:rFonts w:ascii="Arial" w:hAnsi="Arial"/>
          <w:b/>
          <w:sz w:val="24"/>
        </w:rPr>
        <w:t xml:space="preserve"> </w:t>
      </w:r>
      <w:r w:rsidRPr="000B5C62">
        <w:rPr>
          <w:rFonts w:ascii="Arial" w:hAnsi="Arial"/>
          <w:sz w:val="24"/>
        </w:rPr>
        <w:t>para su descarga</w:t>
      </w:r>
    </w:p>
    <w:sectPr w:rsidR="00DA328A" w:rsidRPr="000B5C62" w:rsidSect="00800D1E">
      <w:headerReference w:type="default" r:id="rId13"/>
      <w:headerReference w:type="first" r:id="rId14"/>
      <w:type w:val="continuous"/>
      <w:pgSz w:w="11906" w:h="16838"/>
      <w:pgMar w:top="1667" w:right="1558" w:bottom="426" w:left="1797" w:header="72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2E" w:rsidRDefault="004B3A2E">
      <w:r>
        <w:separator/>
      </w:r>
    </w:p>
  </w:endnote>
  <w:endnote w:type="continuationSeparator" w:id="0">
    <w:p w:rsidR="004B3A2E" w:rsidRDefault="004B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">
    <w:altName w:val="Courier New"/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2E" w:rsidRDefault="004B3A2E">
      <w:r>
        <w:separator/>
      </w:r>
    </w:p>
  </w:footnote>
  <w:footnote w:type="continuationSeparator" w:id="0">
    <w:p w:rsidR="004B3A2E" w:rsidRDefault="004B3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5D" w:rsidRPr="00C30CD6" w:rsidRDefault="00C30CD6" w:rsidP="00800D1E">
    <w:pPr>
      <w:pStyle w:val="Kopfzeile"/>
      <w:tabs>
        <w:tab w:val="clear" w:pos="9072"/>
        <w:tab w:val="right" w:pos="8789"/>
      </w:tabs>
      <w:ind w:right="-619"/>
    </w:pPr>
    <w:r>
      <w:t xml:space="preserve">Página </w:t>
    </w:r>
    <w:r w:rsidR="00F12087" w:rsidRPr="00C30CD6">
      <w:rPr>
        <w:rStyle w:val="Seitenzahl"/>
      </w:rPr>
      <w:fldChar w:fldCharType="begin"/>
    </w:r>
    <w:r w:rsidR="004045BF" w:rsidRPr="00C30CD6">
      <w:rPr>
        <w:rStyle w:val="Seitenzahl"/>
      </w:rPr>
      <w:instrText xml:space="preserve"> PAGE </w:instrText>
    </w:r>
    <w:r w:rsidR="00F12087" w:rsidRPr="00C30CD6">
      <w:rPr>
        <w:rStyle w:val="Seitenzahl"/>
      </w:rPr>
      <w:fldChar w:fldCharType="separate"/>
    </w:r>
    <w:r w:rsidR="00AD40B6">
      <w:rPr>
        <w:rStyle w:val="Seitenzahl"/>
        <w:noProof/>
      </w:rPr>
      <w:t>2</w:t>
    </w:r>
    <w:r w:rsidR="00F12087" w:rsidRPr="00C30CD6">
      <w:rPr>
        <w:rStyle w:val="Seitenzahl"/>
      </w:rPr>
      <w:fldChar w:fldCharType="end"/>
    </w:r>
    <w:r>
      <w:t xml:space="preserve"> del comunicado de prensa de Tosaf:</w:t>
    </w:r>
  </w:p>
  <w:p w:rsidR="00233B2F" w:rsidRPr="00C30CD6" w:rsidRDefault="000B5C62" w:rsidP="00800D1E">
    <w:pPr>
      <w:pStyle w:val="Kopfzeile"/>
      <w:pBdr>
        <w:bottom w:val="single" w:sz="4" w:space="1" w:color="auto"/>
      </w:pBdr>
    </w:pPr>
    <w:r w:rsidRPr="000B5C62">
      <w:t>Nuevo masterbatch antiestático para aplicaciones de PP que proporciona una excelente eficiencia hasta en condiciones de muy baja humedad atmosférica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5D" w:rsidRDefault="00171B60">
    <w:pPr>
      <w:pStyle w:val="Kopfzeile"/>
    </w:pPr>
    <w:r>
      <w:rPr>
        <w:noProof/>
        <w:lang w:val="de-DE" w:eastAsia="de-DE" w:bidi="ar-SA"/>
      </w:rPr>
      <w:drawing>
        <wp:inline distT="0" distB="0" distL="0" distR="0" wp14:anchorId="012C62EA" wp14:editId="1EDB6D52">
          <wp:extent cx="1801495" cy="1146175"/>
          <wp:effectExtent l="0" t="0" r="8255" b="0"/>
          <wp:docPr id="2" name="Bild 2" descr="tosaflogo_neu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aflogo_neu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FDB31D" wp14:editId="39CD3A16">
              <wp:simplePos x="0" y="0"/>
              <wp:positionH relativeFrom="column">
                <wp:posOffset>1695450</wp:posOffset>
              </wp:positionH>
              <wp:positionV relativeFrom="paragraph">
                <wp:posOffset>-26670</wp:posOffset>
              </wp:positionV>
              <wp:extent cx="3905250" cy="90678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F5D" w:rsidRPr="00DE1CB0" w:rsidRDefault="00B35F5D" w:rsidP="00B35F5D">
                          <w:pPr>
                            <w:spacing w:line="288" w:lineRule="auto"/>
                            <w:jc w:val="right"/>
                            <w:rPr>
                              <w:lang w:val="en-US"/>
                            </w:rPr>
                          </w:pPr>
                          <w:r w:rsidRPr="00DE1CB0">
                            <w:rPr>
                              <w:lang w:val="en-US"/>
                            </w:rPr>
                            <w:t>Tosaf Compounds Ltd.</w:t>
                          </w:r>
                        </w:p>
                        <w:p w:rsidR="00B35F5D" w:rsidRPr="00DE1CB0" w:rsidRDefault="00B35F5D" w:rsidP="00B35F5D">
                          <w:pPr>
                            <w:spacing w:line="288" w:lineRule="auto"/>
                            <w:jc w:val="right"/>
                            <w:rPr>
                              <w:lang w:val="en-US"/>
                            </w:rPr>
                          </w:pPr>
                          <w:r w:rsidRPr="00DE1CB0">
                            <w:rPr>
                              <w:lang w:val="en-US"/>
                            </w:rPr>
                            <w:t xml:space="preserve">Ind. Zone Elon Tavor </w:t>
                          </w:r>
                        </w:p>
                        <w:p w:rsidR="00B35F5D" w:rsidRPr="00DE1CB0" w:rsidRDefault="00B35F5D" w:rsidP="00B35F5D">
                          <w:pPr>
                            <w:spacing w:line="288" w:lineRule="auto"/>
                            <w:jc w:val="right"/>
                            <w:rPr>
                              <w:lang w:val="en-US"/>
                            </w:rPr>
                          </w:pPr>
                          <w:r w:rsidRPr="00DE1CB0">
                            <w:rPr>
                              <w:lang w:val="en-US"/>
                            </w:rPr>
                            <w:t xml:space="preserve">P.O.B 2633 </w:t>
                          </w:r>
                        </w:p>
                        <w:p w:rsidR="00B35F5D" w:rsidRPr="00E26836" w:rsidRDefault="00B35F5D" w:rsidP="00B35F5D">
                          <w:pPr>
                            <w:spacing w:line="288" w:lineRule="auto"/>
                            <w:jc w:val="right"/>
                          </w:pPr>
                          <w:r>
                            <w:t>Afula 18126, ISRAEL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5pt;margin-top:-2.1pt;width:307.5pt;height:7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99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" filled="f" stroked="f">
              <v:textbox>
                <w:txbxContent>
                  <w:p w:rsidR="00B35F5D" w:rsidRPr="00DE1CB0" w:rsidRDefault="00B35F5D" w:rsidP="00B35F5D">
                    <w:pPr>
                      <w:spacing w:line="288" w:lineRule="auto"/>
                      <w:jc w:val="right"/>
                      <w:rPr>
                        <w:lang w:val="en-US"/>
                      </w:rPr>
                    </w:pPr>
                    <w:r w:rsidRPr="00DE1CB0">
                      <w:rPr>
                        <w:lang w:val="en-US"/>
                      </w:rPr>
                      <w:t>Tosaf Compounds Ltd.</w:t>
                    </w:r>
                  </w:p>
                  <w:p w:rsidR="00B35F5D" w:rsidRPr="00DE1CB0" w:rsidRDefault="00B35F5D" w:rsidP="00B35F5D">
                    <w:pPr>
                      <w:spacing w:line="288" w:lineRule="auto"/>
                      <w:jc w:val="right"/>
                      <w:rPr>
                        <w:lang w:val="en-US"/>
                      </w:rPr>
                    </w:pPr>
                    <w:r w:rsidRPr="00DE1CB0">
                      <w:rPr>
                        <w:lang w:val="en-US"/>
                      </w:rPr>
                      <w:t xml:space="preserve">Ind. Zone Elon Tavor </w:t>
                    </w:r>
                  </w:p>
                  <w:p w:rsidR="00B35F5D" w:rsidRPr="00DE1CB0" w:rsidRDefault="00B35F5D" w:rsidP="00B35F5D">
                    <w:pPr>
                      <w:spacing w:line="288" w:lineRule="auto"/>
                      <w:jc w:val="right"/>
                      <w:rPr>
                        <w:lang w:val="en-US"/>
                      </w:rPr>
                    </w:pPr>
                    <w:r w:rsidRPr="00DE1CB0">
                      <w:rPr>
                        <w:lang w:val="en-US"/>
                      </w:rPr>
                      <w:t xml:space="preserve">P.O.B 2633 </w:t>
                    </w:r>
                  </w:p>
                  <w:p w:rsidR="00B35F5D" w:rsidRPr="00E26836" w:rsidRDefault="00B35F5D" w:rsidP="00B35F5D">
                    <w:pPr>
                      <w:spacing w:line="288" w:lineRule="auto"/>
                      <w:jc w:val="right"/>
                    </w:pPr>
                    <w:r>
                      <w:t>Afula 18126, ISRAEL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C5F"/>
    <w:multiLevelType w:val="hybridMultilevel"/>
    <w:tmpl w:val="33AE01A0"/>
    <w:lvl w:ilvl="0" w:tplc="0407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">
    <w:nsid w:val="7F815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454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80"/>
    <w:rsid w:val="00012458"/>
    <w:rsid w:val="00013654"/>
    <w:rsid w:val="000148FF"/>
    <w:rsid w:val="00021B2D"/>
    <w:rsid w:val="00021C28"/>
    <w:rsid w:val="000254B3"/>
    <w:rsid w:val="0002763E"/>
    <w:rsid w:val="0003256C"/>
    <w:rsid w:val="00050D63"/>
    <w:rsid w:val="00056A95"/>
    <w:rsid w:val="0006148E"/>
    <w:rsid w:val="00062A93"/>
    <w:rsid w:val="00085C5C"/>
    <w:rsid w:val="00095F84"/>
    <w:rsid w:val="00097D1D"/>
    <w:rsid w:val="000B11F2"/>
    <w:rsid w:val="000B3B70"/>
    <w:rsid w:val="000B5C62"/>
    <w:rsid w:val="000D2F4B"/>
    <w:rsid w:val="000E5943"/>
    <w:rsid w:val="000F18C0"/>
    <w:rsid w:val="000F6344"/>
    <w:rsid w:val="0011623D"/>
    <w:rsid w:val="00137539"/>
    <w:rsid w:val="001453F1"/>
    <w:rsid w:val="00150FA5"/>
    <w:rsid w:val="00151D39"/>
    <w:rsid w:val="001522C6"/>
    <w:rsid w:val="00160A2A"/>
    <w:rsid w:val="00171B60"/>
    <w:rsid w:val="00175E1B"/>
    <w:rsid w:val="001764CA"/>
    <w:rsid w:val="001832E1"/>
    <w:rsid w:val="00185D32"/>
    <w:rsid w:val="0019106C"/>
    <w:rsid w:val="001B3A6A"/>
    <w:rsid w:val="001B79CF"/>
    <w:rsid w:val="001C4A5C"/>
    <w:rsid w:val="001D2832"/>
    <w:rsid w:val="001D4F89"/>
    <w:rsid w:val="001E5A4F"/>
    <w:rsid w:val="001E660A"/>
    <w:rsid w:val="001F089A"/>
    <w:rsid w:val="002125BC"/>
    <w:rsid w:val="00221225"/>
    <w:rsid w:val="00223E37"/>
    <w:rsid w:val="00225A06"/>
    <w:rsid w:val="00225C54"/>
    <w:rsid w:val="00225D26"/>
    <w:rsid w:val="002325D3"/>
    <w:rsid w:val="00233B2F"/>
    <w:rsid w:val="0023441D"/>
    <w:rsid w:val="0024116B"/>
    <w:rsid w:val="00250D2C"/>
    <w:rsid w:val="002600B5"/>
    <w:rsid w:val="002623AF"/>
    <w:rsid w:val="00270E41"/>
    <w:rsid w:val="00295C14"/>
    <w:rsid w:val="002A01CF"/>
    <w:rsid w:val="002C6BF7"/>
    <w:rsid w:val="002E19F0"/>
    <w:rsid w:val="002E259B"/>
    <w:rsid w:val="002F1776"/>
    <w:rsid w:val="002F6B9B"/>
    <w:rsid w:val="0030263C"/>
    <w:rsid w:val="00320BE3"/>
    <w:rsid w:val="00326ED5"/>
    <w:rsid w:val="00326F9D"/>
    <w:rsid w:val="00327D43"/>
    <w:rsid w:val="00335CAB"/>
    <w:rsid w:val="00344647"/>
    <w:rsid w:val="00355685"/>
    <w:rsid w:val="00361073"/>
    <w:rsid w:val="003658E4"/>
    <w:rsid w:val="0037471E"/>
    <w:rsid w:val="00375FDE"/>
    <w:rsid w:val="00380656"/>
    <w:rsid w:val="003A2AC3"/>
    <w:rsid w:val="003A3EB4"/>
    <w:rsid w:val="003A5E7C"/>
    <w:rsid w:val="003B18D9"/>
    <w:rsid w:val="003D4B9F"/>
    <w:rsid w:val="003F395E"/>
    <w:rsid w:val="003F692C"/>
    <w:rsid w:val="004045BF"/>
    <w:rsid w:val="00404B7C"/>
    <w:rsid w:val="00426FEB"/>
    <w:rsid w:val="004305E2"/>
    <w:rsid w:val="00430BF5"/>
    <w:rsid w:val="00430C85"/>
    <w:rsid w:val="00435D5D"/>
    <w:rsid w:val="00446D11"/>
    <w:rsid w:val="00453A3C"/>
    <w:rsid w:val="0046030F"/>
    <w:rsid w:val="00473193"/>
    <w:rsid w:val="00481E9B"/>
    <w:rsid w:val="004A2865"/>
    <w:rsid w:val="004A6D66"/>
    <w:rsid w:val="004B3A2E"/>
    <w:rsid w:val="004B55E3"/>
    <w:rsid w:val="004B5E7D"/>
    <w:rsid w:val="004E0749"/>
    <w:rsid w:val="004F01F5"/>
    <w:rsid w:val="004F0529"/>
    <w:rsid w:val="004F0AAD"/>
    <w:rsid w:val="004F1CAE"/>
    <w:rsid w:val="00502A67"/>
    <w:rsid w:val="00512120"/>
    <w:rsid w:val="005162E2"/>
    <w:rsid w:val="00524BE3"/>
    <w:rsid w:val="00531F73"/>
    <w:rsid w:val="0053353B"/>
    <w:rsid w:val="0054336B"/>
    <w:rsid w:val="00552B7F"/>
    <w:rsid w:val="00553705"/>
    <w:rsid w:val="005619FB"/>
    <w:rsid w:val="00561D69"/>
    <w:rsid w:val="00562B49"/>
    <w:rsid w:val="0057046E"/>
    <w:rsid w:val="005755DE"/>
    <w:rsid w:val="00576B38"/>
    <w:rsid w:val="005832F0"/>
    <w:rsid w:val="005915D0"/>
    <w:rsid w:val="005947C3"/>
    <w:rsid w:val="005A0C2F"/>
    <w:rsid w:val="005A0CD6"/>
    <w:rsid w:val="005A68B6"/>
    <w:rsid w:val="005B7FE4"/>
    <w:rsid w:val="005C1570"/>
    <w:rsid w:val="005C75C5"/>
    <w:rsid w:val="005E31EB"/>
    <w:rsid w:val="005F7665"/>
    <w:rsid w:val="00603510"/>
    <w:rsid w:val="00607D86"/>
    <w:rsid w:val="00630596"/>
    <w:rsid w:val="00633E2D"/>
    <w:rsid w:val="00643FB4"/>
    <w:rsid w:val="00652E43"/>
    <w:rsid w:val="0066288D"/>
    <w:rsid w:val="00674FCE"/>
    <w:rsid w:val="006771F9"/>
    <w:rsid w:val="006923E3"/>
    <w:rsid w:val="00694A79"/>
    <w:rsid w:val="00694D6F"/>
    <w:rsid w:val="006A1452"/>
    <w:rsid w:val="006B0CBE"/>
    <w:rsid w:val="006B2BC9"/>
    <w:rsid w:val="006B4FA6"/>
    <w:rsid w:val="006D5D4D"/>
    <w:rsid w:val="006E719F"/>
    <w:rsid w:val="006F0D7F"/>
    <w:rsid w:val="006F17B4"/>
    <w:rsid w:val="00703E82"/>
    <w:rsid w:val="0070428A"/>
    <w:rsid w:val="00706B06"/>
    <w:rsid w:val="007113E6"/>
    <w:rsid w:val="007115BA"/>
    <w:rsid w:val="007130F2"/>
    <w:rsid w:val="00716E74"/>
    <w:rsid w:val="007253CA"/>
    <w:rsid w:val="00731F11"/>
    <w:rsid w:val="00735B4D"/>
    <w:rsid w:val="00737D16"/>
    <w:rsid w:val="00744566"/>
    <w:rsid w:val="00753C80"/>
    <w:rsid w:val="00760DB2"/>
    <w:rsid w:val="007659C1"/>
    <w:rsid w:val="0076784E"/>
    <w:rsid w:val="00781ED8"/>
    <w:rsid w:val="0078683F"/>
    <w:rsid w:val="00790536"/>
    <w:rsid w:val="00795676"/>
    <w:rsid w:val="007B2EDB"/>
    <w:rsid w:val="007D6D25"/>
    <w:rsid w:val="007E25E3"/>
    <w:rsid w:val="007E3D57"/>
    <w:rsid w:val="007E5D81"/>
    <w:rsid w:val="007F2A51"/>
    <w:rsid w:val="00800D1E"/>
    <w:rsid w:val="0081767F"/>
    <w:rsid w:val="00830EC0"/>
    <w:rsid w:val="0083708E"/>
    <w:rsid w:val="0084345A"/>
    <w:rsid w:val="008446B5"/>
    <w:rsid w:val="00857D6B"/>
    <w:rsid w:val="00867353"/>
    <w:rsid w:val="00867FF8"/>
    <w:rsid w:val="00877FD3"/>
    <w:rsid w:val="00882B71"/>
    <w:rsid w:val="00883E40"/>
    <w:rsid w:val="008A6044"/>
    <w:rsid w:val="008B59C0"/>
    <w:rsid w:val="008B5B85"/>
    <w:rsid w:val="008B5DB2"/>
    <w:rsid w:val="008B6AE8"/>
    <w:rsid w:val="008C2BE5"/>
    <w:rsid w:val="008C4788"/>
    <w:rsid w:val="008D6402"/>
    <w:rsid w:val="008E67E2"/>
    <w:rsid w:val="008F2B5A"/>
    <w:rsid w:val="008F5B0B"/>
    <w:rsid w:val="00905657"/>
    <w:rsid w:val="009214B6"/>
    <w:rsid w:val="00921D29"/>
    <w:rsid w:val="00930E9A"/>
    <w:rsid w:val="00932E16"/>
    <w:rsid w:val="00942505"/>
    <w:rsid w:val="0094553B"/>
    <w:rsid w:val="00945EF8"/>
    <w:rsid w:val="009463D1"/>
    <w:rsid w:val="00954BE8"/>
    <w:rsid w:val="009820E5"/>
    <w:rsid w:val="00982237"/>
    <w:rsid w:val="00985A35"/>
    <w:rsid w:val="00986A7A"/>
    <w:rsid w:val="00995C1E"/>
    <w:rsid w:val="009A488C"/>
    <w:rsid w:val="009B7A08"/>
    <w:rsid w:val="009C0CEA"/>
    <w:rsid w:val="009C5D64"/>
    <w:rsid w:val="009D0BA6"/>
    <w:rsid w:val="009E4815"/>
    <w:rsid w:val="00A02069"/>
    <w:rsid w:val="00A0377C"/>
    <w:rsid w:val="00A0414C"/>
    <w:rsid w:val="00A15A0D"/>
    <w:rsid w:val="00A24659"/>
    <w:rsid w:val="00A2566A"/>
    <w:rsid w:val="00A45B37"/>
    <w:rsid w:val="00A56443"/>
    <w:rsid w:val="00A64F08"/>
    <w:rsid w:val="00A71C49"/>
    <w:rsid w:val="00A73708"/>
    <w:rsid w:val="00A84250"/>
    <w:rsid w:val="00A8504A"/>
    <w:rsid w:val="00A86725"/>
    <w:rsid w:val="00A954A9"/>
    <w:rsid w:val="00A9593A"/>
    <w:rsid w:val="00A967B6"/>
    <w:rsid w:val="00AA0C33"/>
    <w:rsid w:val="00AB13C7"/>
    <w:rsid w:val="00AB619A"/>
    <w:rsid w:val="00AC6B65"/>
    <w:rsid w:val="00AC79CB"/>
    <w:rsid w:val="00AD40B6"/>
    <w:rsid w:val="00AD7034"/>
    <w:rsid w:val="00AF241C"/>
    <w:rsid w:val="00B06168"/>
    <w:rsid w:val="00B108E7"/>
    <w:rsid w:val="00B13C3D"/>
    <w:rsid w:val="00B1435B"/>
    <w:rsid w:val="00B17E78"/>
    <w:rsid w:val="00B3021A"/>
    <w:rsid w:val="00B35F5D"/>
    <w:rsid w:val="00B371C1"/>
    <w:rsid w:val="00B412C5"/>
    <w:rsid w:val="00B46DFE"/>
    <w:rsid w:val="00B661CF"/>
    <w:rsid w:val="00B67A23"/>
    <w:rsid w:val="00B7349B"/>
    <w:rsid w:val="00B82E54"/>
    <w:rsid w:val="00B933B6"/>
    <w:rsid w:val="00BA31DF"/>
    <w:rsid w:val="00BA7E69"/>
    <w:rsid w:val="00BB135E"/>
    <w:rsid w:val="00BB7AB8"/>
    <w:rsid w:val="00BC127B"/>
    <w:rsid w:val="00BC6E82"/>
    <w:rsid w:val="00BD4F6D"/>
    <w:rsid w:val="00BE0290"/>
    <w:rsid w:val="00BF7C37"/>
    <w:rsid w:val="00C05962"/>
    <w:rsid w:val="00C05D22"/>
    <w:rsid w:val="00C078D9"/>
    <w:rsid w:val="00C178D8"/>
    <w:rsid w:val="00C179FF"/>
    <w:rsid w:val="00C229B5"/>
    <w:rsid w:val="00C30CD6"/>
    <w:rsid w:val="00C31019"/>
    <w:rsid w:val="00C3166A"/>
    <w:rsid w:val="00C32DF0"/>
    <w:rsid w:val="00C46BE3"/>
    <w:rsid w:val="00C47853"/>
    <w:rsid w:val="00C52148"/>
    <w:rsid w:val="00C55F2D"/>
    <w:rsid w:val="00C60BFF"/>
    <w:rsid w:val="00C63007"/>
    <w:rsid w:val="00C6330F"/>
    <w:rsid w:val="00C714B4"/>
    <w:rsid w:val="00C73853"/>
    <w:rsid w:val="00C94D93"/>
    <w:rsid w:val="00CB3ED7"/>
    <w:rsid w:val="00CB7EBA"/>
    <w:rsid w:val="00CC26F0"/>
    <w:rsid w:val="00CD69AF"/>
    <w:rsid w:val="00CF267C"/>
    <w:rsid w:val="00CF367B"/>
    <w:rsid w:val="00D03DCF"/>
    <w:rsid w:val="00D11221"/>
    <w:rsid w:val="00D25738"/>
    <w:rsid w:val="00D3558E"/>
    <w:rsid w:val="00D35BDC"/>
    <w:rsid w:val="00D36812"/>
    <w:rsid w:val="00D4215F"/>
    <w:rsid w:val="00D548E1"/>
    <w:rsid w:val="00D55A75"/>
    <w:rsid w:val="00D92500"/>
    <w:rsid w:val="00D97653"/>
    <w:rsid w:val="00DA328A"/>
    <w:rsid w:val="00DA5E0B"/>
    <w:rsid w:val="00DA66BF"/>
    <w:rsid w:val="00DB1AE8"/>
    <w:rsid w:val="00DB26A7"/>
    <w:rsid w:val="00DB6449"/>
    <w:rsid w:val="00DC5748"/>
    <w:rsid w:val="00DD3EA1"/>
    <w:rsid w:val="00DE1CB0"/>
    <w:rsid w:val="00DE2AA0"/>
    <w:rsid w:val="00DF294C"/>
    <w:rsid w:val="00E05C3D"/>
    <w:rsid w:val="00E139D4"/>
    <w:rsid w:val="00E23C8D"/>
    <w:rsid w:val="00E26836"/>
    <w:rsid w:val="00E36FA0"/>
    <w:rsid w:val="00E42313"/>
    <w:rsid w:val="00E51CD4"/>
    <w:rsid w:val="00E52B6E"/>
    <w:rsid w:val="00E56400"/>
    <w:rsid w:val="00E663BD"/>
    <w:rsid w:val="00E66420"/>
    <w:rsid w:val="00E75641"/>
    <w:rsid w:val="00E82BE2"/>
    <w:rsid w:val="00E933FF"/>
    <w:rsid w:val="00E976EF"/>
    <w:rsid w:val="00EA65F8"/>
    <w:rsid w:val="00EB7DF8"/>
    <w:rsid w:val="00EC0B18"/>
    <w:rsid w:val="00EE2F44"/>
    <w:rsid w:val="00EF44C8"/>
    <w:rsid w:val="00EF6339"/>
    <w:rsid w:val="00F05942"/>
    <w:rsid w:val="00F12087"/>
    <w:rsid w:val="00F42D93"/>
    <w:rsid w:val="00F47368"/>
    <w:rsid w:val="00F47F2A"/>
    <w:rsid w:val="00F52A85"/>
    <w:rsid w:val="00F63AF8"/>
    <w:rsid w:val="00F6479C"/>
    <w:rsid w:val="00F64C04"/>
    <w:rsid w:val="00F653E7"/>
    <w:rsid w:val="00F728E6"/>
    <w:rsid w:val="00F72F5C"/>
    <w:rsid w:val="00F745BC"/>
    <w:rsid w:val="00F830BD"/>
    <w:rsid w:val="00F83A0D"/>
    <w:rsid w:val="00F911BF"/>
    <w:rsid w:val="00FA2E1D"/>
    <w:rsid w:val="00FA7BDA"/>
    <w:rsid w:val="00FB44C4"/>
    <w:rsid w:val="00FB7DBA"/>
    <w:rsid w:val="00FC05C4"/>
    <w:rsid w:val="00FC5B52"/>
    <w:rsid w:val="00FD2697"/>
    <w:rsid w:val="00FD4360"/>
    <w:rsid w:val="00FD6966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5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5C3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5C3D"/>
    <w:rPr>
      <w:rFonts w:cs="Miriam"/>
      <w:sz w:val="20"/>
      <w:szCs w:val="20"/>
    </w:rPr>
  </w:style>
  <w:style w:type="character" w:styleId="Hyperlink">
    <w:name w:val="Hyperlink"/>
    <w:basedOn w:val="Absatz-Standardschriftart"/>
    <w:uiPriority w:val="99"/>
    <w:rsid w:val="00E05C3D"/>
    <w:rPr>
      <w:color w:val="0000FF"/>
      <w:u w:val="single"/>
    </w:rPr>
  </w:style>
  <w:style w:type="paragraph" w:customStyle="1" w:styleId="AbsatzohneEinrcken">
    <w:name w:val="Absatz ohne Einrücken"/>
    <w:rsid w:val="00E05C3D"/>
    <w:pPr>
      <w:spacing w:before="360" w:line="360" w:lineRule="exact"/>
    </w:pPr>
    <w:rPr>
      <w:rFonts w:ascii="Courier" w:hAnsi="Courier"/>
      <w:sz w:val="24"/>
    </w:rPr>
  </w:style>
  <w:style w:type="paragraph" w:styleId="Textkrper">
    <w:name w:val="Body Text"/>
    <w:basedOn w:val="Standard"/>
    <w:rsid w:val="00E05C3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pct10" w:color="auto" w:fill="FFFFFF"/>
      <w:spacing w:before="40"/>
      <w:ind w:right="-143"/>
    </w:pPr>
    <w:rPr>
      <w:rFonts w:ascii="Univers" w:hAnsi="Univers"/>
      <w:i/>
      <w:sz w:val="22"/>
      <w:szCs w:val="20"/>
    </w:rPr>
  </w:style>
  <w:style w:type="table" w:customStyle="1" w:styleId="Tabellengitternetz">
    <w:name w:val="Tabellengitternetz"/>
    <w:basedOn w:val="NormaleTabelle"/>
    <w:rsid w:val="00A9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45BF"/>
  </w:style>
  <w:style w:type="character" w:styleId="Kommentarzeichen">
    <w:name w:val="annotation reference"/>
    <w:basedOn w:val="Absatz-Standardschriftart"/>
    <w:uiPriority w:val="99"/>
    <w:semiHidden/>
    <w:unhideWhenUsed/>
    <w:rsid w:val="006305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596"/>
    <w:rPr>
      <w:rFonts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96"/>
    <w:rPr>
      <w:rFonts w:cs="Miriam"/>
      <w:lang w:val="es-ES" w:eastAsia="es-ES" w:bidi="es-E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596"/>
    <w:rPr>
      <w:rFonts w:cs="Miriam"/>
      <w:b/>
      <w:bCs/>
      <w:lang w:val="es-ES" w:eastAsia="es-ES" w:bidi="es-ES"/>
    </w:rPr>
  </w:style>
  <w:style w:type="paragraph" w:styleId="StandardWeb">
    <w:name w:val="Normal (Web)"/>
    <w:basedOn w:val="Standard"/>
    <w:uiPriority w:val="99"/>
    <w:semiHidden/>
    <w:unhideWhenUsed/>
    <w:rsid w:val="00212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5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5C3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5C3D"/>
    <w:rPr>
      <w:rFonts w:cs="Miriam"/>
      <w:sz w:val="20"/>
      <w:szCs w:val="20"/>
    </w:rPr>
  </w:style>
  <w:style w:type="character" w:styleId="Hyperlink">
    <w:name w:val="Hyperlink"/>
    <w:basedOn w:val="Absatz-Standardschriftart"/>
    <w:uiPriority w:val="99"/>
    <w:rsid w:val="00E05C3D"/>
    <w:rPr>
      <w:color w:val="0000FF"/>
      <w:u w:val="single"/>
    </w:rPr>
  </w:style>
  <w:style w:type="paragraph" w:customStyle="1" w:styleId="AbsatzohneEinrcken">
    <w:name w:val="Absatz ohne Einrücken"/>
    <w:rsid w:val="00E05C3D"/>
    <w:pPr>
      <w:spacing w:before="360" w:line="360" w:lineRule="exact"/>
    </w:pPr>
    <w:rPr>
      <w:rFonts w:ascii="Courier" w:hAnsi="Courier"/>
      <w:sz w:val="24"/>
    </w:rPr>
  </w:style>
  <w:style w:type="paragraph" w:styleId="Textkrper">
    <w:name w:val="Body Text"/>
    <w:basedOn w:val="Standard"/>
    <w:rsid w:val="00E05C3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pct10" w:color="auto" w:fill="FFFFFF"/>
      <w:spacing w:before="40"/>
      <w:ind w:right="-143"/>
    </w:pPr>
    <w:rPr>
      <w:rFonts w:ascii="Univers" w:hAnsi="Univers"/>
      <w:i/>
      <w:sz w:val="22"/>
      <w:szCs w:val="20"/>
    </w:rPr>
  </w:style>
  <w:style w:type="table" w:customStyle="1" w:styleId="Tabellengitternetz">
    <w:name w:val="Tabellengitternetz"/>
    <w:basedOn w:val="NormaleTabelle"/>
    <w:rsid w:val="00A9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45BF"/>
  </w:style>
  <w:style w:type="character" w:styleId="Kommentarzeichen">
    <w:name w:val="annotation reference"/>
    <w:basedOn w:val="Absatz-Standardschriftart"/>
    <w:uiPriority w:val="99"/>
    <w:semiHidden/>
    <w:unhideWhenUsed/>
    <w:rsid w:val="006305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596"/>
    <w:rPr>
      <w:rFonts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96"/>
    <w:rPr>
      <w:rFonts w:cs="Miriam"/>
      <w:lang w:val="es-ES" w:eastAsia="es-ES" w:bidi="es-E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596"/>
    <w:rPr>
      <w:rFonts w:cs="Miriam"/>
      <w:b/>
      <w:bCs/>
      <w:lang w:val="es-ES" w:eastAsia="es-ES" w:bidi="es-ES"/>
    </w:rPr>
  </w:style>
  <w:style w:type="paragraph" w:styleId="StandardWeb">
    <w:name w:val="Normal (Web)"/>
    <w:basedOn w:val="Standard"/>
    <w:uiPriority w:val="99"/>
    <w:semiHidden/>
    <w:unhideWhenUsed/>
    <w:rsid w:val="00212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sens.de/tosaf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onsens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saf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C8DE1-EA8F-4389-BE30-CBE3B5BD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FE5C5381.dotm</Template>
  <TotalTime>0</TotalTime>
  <Pages>2</Pages>
  <Words>666</Words>
  <Characters>3718</Characters>
  <Application>Microsoft Office Word</Application>
  <DocSecurity>0</DocSecurity>
  <Lines>52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Tosaf to Increase Production Capacity to 90kT/y by end 2004</vt:lpstr>
      <vt:lpstr>Tosaf to Increase Production Capacity to 90kT/y by end 2004</vt:lpstr>
      <vt:lpstr>Tosaf to Increase Production Capacity to 90kT/y by end 2004</vt:lpstr>
    </vt:vector>
  </TitlesOfParts>
  <Company>tosaf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Tosaf to Increase Production Capacity to 90kT/y by end 2004</dc:title>
  <dc:creator>shapirj</dc:creator>
  <cp:lastModifiedBy>Jörg Wolters</cp:lastModifiedBy>
  <cp:revision>3</cp:revision>
  <cp:lastPrinted>2011-01-20T07:56:00Z</cp:lastPrinted>
  <dcterms:created xsi:type="dcterms:W3CDTF">2015-11-25T11:02:00Z</dcterms:created>
  <dcterms:modified xsi:type="dcterms:W3CDTF">2015-12-04T16:21:00Z</dcterms:modified>
</cp:coreProperties>
</file>